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A81E" w14:textId="282D9023" w:rsidR="006B6D7A" w:rsidRPr="00F752AE" w:rsidRDefault="0003595F" w:rsidP="00F752AE">
      <w:pPr>
        <w:pStyle w:val="Title"/>
        <w:rPr>
          <w:lang w:val="en-US"/>
        </w:rPr>
      </w:pPr>
      <w:r>
        <w:rPr>
          <w:noProof/>
          <w:lang w:val="en-US"/>
        </w:rPr>
        <mc:AlternateContent>
          <mc:Choice Requires="wps">
            <w:drawing>
              <wp:anchor distT="0" distB="0" distL="114300" distR="114300" simplePos="0" relativeHeight="251659264" behindDoc="0" locked="0" layoutInCell="1" allowOverlap="1" wp14:anchorId="76FF5C6A" wp14:editId="34A52A01">
                <wp:simplePos x="0" y="0"/>
                <wp:positionH relativeFrom="column">
                  <wp:posOffset>7286625</wp:posOffset>
                </wp:positionH>
                <wp:positionV relativeFrom="paragraph">
                  <wp:posOffset>-133350</wp:posOffset>
                </wp:positionV>
                <wp:extent cx="1857375" cy="295275"/>
                <wp:effectExtent l="0" t="0" r="28575" b="28575"/>
                <wp:wrapNone/>
                <wp:docPr id="1583066894" name="Text Box 1"/>
                <wp:cNvGraphicFramePr/>
                <a:graphic xmlns:a="http://schemas.openxmlformats.org/drawingml/2006/main">
                  <a:graphicData uri="http://schemas.microsoft.com/office/word/2010/wordprocessingShape">
                    <wps:wsp>
                      <wps:cNvSpPr txBox="1"/>
                      <wps:spPr>
                        <a:xfrm>
                          <a:off x="0" y="0"/>
                          <a:ext cx="1857375" cy="295275"/>
                        </a:xfrm>
                        <a:prstGeom prst="rect">
                          <a:avLst/>
                        </a:prstGeom>
                        <a:solidFill>
                          <a:schemeClr val="lt1"/>
                        </a:solidFill>
                        <a:ln w="6350">
                          <a:solidFill>
                            <a:prstClr val="black"/>
                          </a:solidFill>
                        </a:ln>
                      </wps:spPr>
                      <wps:txbx>
                        <w:txbxContent>
                          <w:p w14:paraId="00E182DB" w14:textId="4CA9E501" w:rsidR="0003595F" w:rsidRDefault="0003595F" w:rsidP="0003595F">
                            <w:pPr>
                              <w:jc w:val="center"/>
                            </w:pPr>
                            <w:r w:rsidRPr="00163AAA">
                              <w:t xml:space="preserve">Updated: </w:t>
                            </w:r>
                            <w:proofErr w:type="gramStart"/>
                            <w:r w:rsidR="00163AAA" w:rsidRPr="00163AAA">
                              <w:t>December</w:t>
                            </w:r>
                            <w:r w:rsidRPr="00163AAA">
                              <w:t>,</w:t>
                            </w:r>
                            <w:proofErr w:type="gramEnd"/>
                            <w:r w:rsidRPr="00163AAA">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F5C6A" id="_x0000_t202" coordsize="21600,21600" o:spt="202" path="m,l,21600r21600,l21600,xe">
                <v:stroke joinstyle="miter"/>
                <v:path gradientshapeok="t" o:connecttype="rect"/>
              </v:shapetype>
              <v:shape id="Text Box 1" o:spid="_x0000_s1026" type="#_x0000_t202" style="position:absolute;margin-left:573.75pt;margin-top:-10.5pt;width:14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" fillcolor="white [3201]" strokeweight=".5pt">
                <v:textbox>
                  <w:txbxContent>
                    <w:p w14:paraId="00E182DB" w14:textId="4CA9E501" w:rsidR="0003595F" w:rsidRDefault="0003595F" w:rsidP="0003595F">
                      <w:pPr>
                        <w:jc w:val="center"/>
                      </w:pPr>
                      <w:r w:rsidRPr="00163AAA">
                        <w:t xml:space="preserve">Updated: </w:t>
                      </w:r>
                      <w:proofErr w:type="gramStart"/>
                      <w:r w:rsidR="00163AAA" w:rsidRPr="00163AAA">
                        <w:t>December</w:t>
                      </w:r>
                      <w:r w:rsidRPr="00163AAA">
                        <w:t>,</w:t>
                      </w:r>
                      <w:proofErr w:type="gramEnd"/>
                      <w:r w:rsidRPr="00163AAA">
                        <w:t xml:space="preserve"> 2024</w:t>
                      </w:r>
                    </w:p>
                  </w:txbxContent>
                </v:textbox>
              </v:shape>
            </w:pict>
          </mc:Fallback>
        </mc:AlternateContent>
      </w:r>
      <w:r w:rsidR="006B6D7A" w:rsidRPr="00F752AE">
        <w:rPr>
          <w:lang w:val="en-US"/>
        </w:rPr>
        <w:t xml:space="preserve">Submission </w:t>
      </w:r>
      <w:r w:rsidR="006B6D7A" w:rsidRPr="00557D3B">
        <w:rPr>
          <w:b/>
          <w:bCs/>
          <w:lang w:val="en-US"/>
        </w:rPr>
        <w:t>#</w:t>
      </w:r>
      <w:r w:rsidR="00557D3B" w:rsidRPr="00557D3B">
        <w:rPr>
          <w:b/>
          <w:bCs/>
          <w:lang w:val="en-US"/>
        </w:rPr>
        <w:t>2</w:t>
      </w:r>
      <w:r w:rsidR="006B6D7A" w:rsidRPr="00F752AE">
        <w:rPr>
          <w:lang w:val="en-US"/>
        </w:rPr>
        <w:t xml:space="preserve"> Peer Review Comment Matrix</w:t>
      </w:r>
    </w:p>
    <w:p w14:paraId="2B054B9D" w14:textId="12BBEE17" w:rsidR="009F407D" w:rsidRPr="00F752AE" w:rsidRDefault="00DC7129" w:rsidP="006B6D7A">
      <w:pPr>
        <w:spacing w:after="0" w:line="240" w:lineRule="auto"/>
        <w:rPr>
          <w:rFonts w:cstheme="minorHAnsi"/>
          <w:b/>
          <w:bCs/>
          <w:lang w:val="en-US"/>
        </w:rPr>
      </w:pPr>
      <w:r w:rsidRPr="00F752AE">
        <w:rPr>
          <w:rFonts w:cstheme="minorHAnsi"/>
          <w:b/>
          <w:bCs/>
          <w:lang w:val="en-US"/>
        </w:rPr>
        <w:t>168 County Road 49, Part Lot 19, Concession 19</w:t>
      </w:r>
    </w:p>
    <w:p w14:paraId="71BC2062" w14:textId="16D8C5EA" w:rsidR="00E80474" w:rsidRPr="00F752AE" w:rsidRDefault="006B6D7A" w:rsidP="00E80474">
      <w:pPr>
        <w:spacing w:after="0" w:line="240" w:lineRule="auto"/>
        <w:rPr>
          <w:rFonts w:cstheme="minorHAnsi"/>
          <w:b/>
          <w:bCs/>
          <w:lang w:val="en-US"/>
        </w:rPr>
      </w:pPr>
      <w:r w:rsidRPr="00F752AE">
        <w:rPr>
          <w:rFonts w:cstheme="minorHAnsi"/>
          <w:b/>
          <w:bCs/>
          <w:lang w:val="en-US"/>
        </w:rPr>
        <w:t xml:space="preserve">Biddle </w:t>
      </w:r>
      <w:r w:rsidR="00E80474" w:rsidRPr="00F752AE">
        <w:rPr>
          <w:rFonts w:cstheme="minorHAnsi"/>
          <w:b/>
          <w:bCs/>
          <w:lang w:val="en-US"/>
        </w:rPr>
        <w:t>Job Number: 12</w:t>
      </w:r>
      <w:r w:rsidR="00DC7129" w:rsidRPr="00F752AE">
        <w:rPr>
          <w:rFonts w:cstheme="minorHAnsi"/>
          <w:b/>
          <w:bCs/>
          <w:lang w:val="en-US"/>
        </w:rPr>
        <w:t>2169</w:t>
      </w:r>
    </w:p>
    <w:p w14:paraId="152D5D47" w14:textId="39FDE4E4" w:rsidR="006B6D7A" w:rsidRPr="00F752AE" w:rsidRDefault="006B6D7A" w:rsidP="00E80474">
      <w:pPr>
        <w:spacing w:after="0" w:line="240" w:lineRule="auto"/>
        <w:rPr>
          <w:rFonts w:cstheme="minorHAnsi"/>
          <w:b/>
          <w:bCs/>
          <w:lang w:val="en-US"/>
        </w:rPr>
      </w:pPr>
      <w:r w:rsidRPr="00F752AE">
        <w:rPr>
          <w:rFonts w:cstheme="minorHAnsi"/>
          <w:b/>
          <w:bCs/>
          <w:lang w:val="en-US"/>
        </w:rPr>
        <w:t>Planscape File Number: 146800</w:t>
      </w:r>
    </w:p>
    <w:p w14:paraId="54414023" w14:textId="0F71F9CC" w:rsidR="009F407D" w:rsidRPr="00F752AE" w:rsidRDefault="009F407D">
      <w:pPr>
        <w:rPr>
          <w:rFonts w:cstheme="minorHAnsi"/>
          <w:lang w:val="en-US"/>
        </w:rPr>
      </w:pPr>
    </w:p>
    <w:p w14:paraId="5055B471" w14:textId="5729F36E" w:rsidR="009F6F09" w:rsidRPr="00F752AE" w:rsidRDefault="009F6F09">
      <w:pPr>
        <w:rPr>
          <w:rFonts w:cstheme="minorHAnsi"/>
          <w:lang w:val="en-US"/>
        </w:rPr>
      </w:pPr>
    </w:p>
    <w:tbl>
      <w:tblPr>
        <w:tblStyle w:val="TableGrid"/>
        <w:tblW w:w="14485" w:type="dxa"/>
        <w:tblLook w:val="04A0" w:firstRow="1" w:lastRow="0" w:firstColumn="1" w:lastColumn="0" w:noHBand="0" w:noVBand="1"/>
      </w:tblPr>
      <w:tblGrid>
        <w:gridCol w:w="555"/>
        <w:gridCol w:w="8800"/>
        <w:gridCol w:w="1208"/>
        <w:gridCol w:w="3922"/>
      </w:tblGrid>
      <w:tr w:rsidR="0003595F" w:rsidRPr="00F752AE" w14:paraId="1E8473DD" w14:textId="77777777" w:rsidTr="00D30671">
        <w:trPr>
          <w:tblHeader/>
        </w:trPr>
        <w:tc>
          <w:tcPr>
            <w:tcW w:w="555" w:type="dxa"/>
            <w:shd w:val="clear" w:color="auto" w:fill="767171" w:themeFill="background2" w:themeFillShade="80"/>
            <w:vAlign w:val="center"/>
          </w:tcPr>
          <w:p w14:paraId="2C59E339" w14:textId="77777777" w:rsidR="0003595F" w:rsidRPr="00F752AE" w:rsidRDefault="0003595F" w:rsidP="00D30671">
            <w:pPr>
              <w:rPr>
                <w:rFonts w:cstheme="minorHAnsi"/>
                <w:b/>
                <w:bCs/>
                <w:color w:val="FFFFFF" w:themeColor="background1"/>
                <w:lang w:val="en-US"/>
              </w:rPr>
            </w:pPr>
          </w:p>
        </w:tc>
        <w:tc>
          <w:tcPr>
            <w:tcW w:w="8800" w:type="dxa"/>
            <w:shd w:val="clear" w:color="auto" w:fill="767171" w:themeFill="background2" w:themeFillShade="80"/>
            <w:vAlign w:val="center"/>
          </w:tcPr>
          <w:p w14:paraId="0F6EC944" w14:textId="77777777" w:rsidR="0003595F" w:rsidRPr="00F752AE" w:rsidRDefault="0003595F" w:rsidP="00D30671">
            <w:pPr>
              <w:jc w:val="center"/>
              <w:rPr>
                <w:rFonts w:cstheme="minorHAnsi"/>
                <w:b/>
                <w:bCs/>
                <w:color w:val="FFFFFF" w:themeColor="background1"/>
                <w:lang w:val="en-US"/>
              </w:rPr>
            </w:pPr>
            <w:r w:rsidRPr="00F752AE">
              <w:rPr>
                <w:rFonts w:cstheme="minorHAnsi"/>
                <w:b/>
                <w:bCs/>
                <w:color w:val="FFFFFF" w:themeColor="background1"/>
                <w:lang w:val="en-US"/>
              </w:rPr>
              <w:t>Comment</w:t>
            </w:r>
          </w:p>
        </w:tc>
        <w:tc>
          <w:tcPr>
            <w:tcW w:w="1208" w:type="dxa"/>
            <w:shd w:val="clear" w:color="auto" w:fill="767171" w:themeFill="background2" w:themeFillShade="80"/>
            <w:vAlign w:val="center"/>
          </w:tcPr>
          <w:p w14:paraId="282BFB17" w14:textId="77777777" w:rsidR="0003595F" w:rsidRPr="00F752AE" w:rsidRDefault="0003595F" w:rsidP="00D30671">
            <w:pPr>
              <w:jc w:val="center"/>
              <w:rPr>
                <w:rFonts w:cstheme="minorHAnsi"/>
                <w:b/>
                <w:bCs/>
                <w:color w:val="FFFFFF" w:themeColor="background1"/>
                <w:lang w:val="en-US"/>
              </w:rPr>
            </w:pPr>
            <w:r w:rsidRPr="00F752AE">
              <w:rPr>
                <w:rFonts w:cstheme="minorHAnsi"/>
                <w:b/>
                <w:bCs/>
                <w:color w:val="FFFFFF" w:themeColor="background1"/>
                <w:lang w:val="en-US"/>
              </w:rPr>
              <w:t>Consultant</w:t>
            </w:r>
          </w:p>
        </w:tc>
        <w:tc>
          <w:tcPr>
            <w:tcW w:w="3922" w:type="dxa"/>
            <w:shd w:val="clear" w:color="auto" w:fill="767171" w:themeFill="background2" w:themeFillShade="80"/>
            <w:vAlign w:val="center"/>
          </w:tcPr>
          <w:p w14:paraId="3A4C5C79" w14:textId="77777777" w:rsidR="0003595F" w:rsidRPr="00F752AE" w:rsidRDefault="0003595F" w:rsidP="00D30671">
            <w:pPr>
              <w:jc w:val="center"/>
              <w:rPr>
                <w:rFonts w:cstheme="minorHAnsi"/>
                <w:b/>
                <w:bCs/>
                <w:color w:val="FFFFFF" w:themeColor="background1"/>
                <w:lang w:val="en-US"/>
              </w:rPr>
            </w:pPr>
            <w:r w:rsidRPr="00F752AE">
              <w:rPr>
                <w:rFonts w:cstheme="minorHAnsi"/>
                <w:b/>
                <w:bCs/>
                <w:color w:val="FFFFFF" w:themeColor="background1"/>
                <w:lang w:val="en-US"/>
              </w:rPr>
              <w:t>Response</w:t>
            </w:r>
          </w:p>
        </w:tc>
      </w:tr>
      <w:tr w:rsidR="0003595F" w:rsidRPr="00F752AE" w14:paraId="7AD792A6" w14:textId="77777777" w:rsidTr="00D30671">
        <w:trPr>
          <w:tblHeader/>
        </w:trPr>
        <w:tc>
          <w:tcPr>
            <w:tcW w:w="555" w:type="dxa"/>
            <w:shd w:val="clear" w:color="auto" w:fill="B1CBD1"/>
            <w:vAlign w:val="center"/>
          </w:tcPr>
          <w:p w14:paraId="5A5D99F5" w14:textId="77777777" w:rsidR="0003595F" w:rsidRPr="00F752AE" w:rsidRDefault="0003595F" w:rsidP="00D30671">
            <w:pPr>
              <w:jc w:val="center"/>
              <w:rPr>
                <w:rFonts w:cstheme="minorHAnsi"/>
                <w:lang w:val="en-US"/>
              </w:rPr>
            </w:pPr>
            <w:r w:rsidRPr="00F752AE">
              <w:rPr>
                <w:rFonts w:cstheme="minorHAnsi"/>
                <w:lang w:val="en-US"/>
              </w:rPr>
              <w:t>#</w:t>
            </w:r>
          </w:p>
        </w:tc>
        <w:tc>
          <w:tcPr>
            <w:tcW w:w="8800" w:type="dxa"/>
            <w:shd w:val="clear" w:color="auto" w:fill="B1CBD1"/>
            <w:vAlign w:val="center"/>
          </w:tcPr>
          <w:p w14:paraId="53E84071" w14:textId="77777777" w:rsidR="0003595F" w:rsidRPr="00AB57D2" w:rsidRDefault="0003595F" w:rsidP="00D30671">
            <w:pPr>
              <w:ind w:right="255"/>
              <w:rPr>
                <w:rFonts w:cstheme="minorHAnsi"/>
                <w:b/>
                <w:bCs/>
              </w:rPr>
            </w:pPr>
            <w:r w:rsidRPr="00AB57D2">
              <w:rPr>
                <w:rFonts w:cstheme="minorHAnsi"/>
                <w:b/>
                <w:bCs/>
              </w:rPr>
              <w:t>2024-03-15 Functional Servicing &amp; Stormwater Management Report, DG Biddle and Associates</w:t>
            </w:r>
          </w:p>
        </w:tc>
        <w:tc>
          <w:tcPr>
            <w:tcW w:w="5130" w:type="dxa"/>
            <w:gridSpan w:val="2"/>
            <w:shd w:val="clear" w:color="auto" w:fill="B1CBD1"/>
            <w:vAlign w:val="center"/>
          </w:tcPr>
          <w:p w14:paraId="0FFD133C" w14:textId="77777777" w:rsidR="0003595F" w:rsidRPr="00F752AE" w:rsidRDefault="0003595F" w:rsidP="00D30671">
            <w:pPr>
              <w:rPr>
                <w:rFonts w:cstheme="minorHAnsi"/>
                <w:b/>
                <w:bCs/>
                <w:lang w:val="en-US"/>
              </w:rPr>
            </w:pPr>
            <w:r w:rsidRPr="00F752AE">
              <w:rPr>
                <w:rFonts w:cstheme="minorHAnsi"/>
                <w:b/>
                <w:bCs/>
                <w:lang w:val="en-US"/>
              </w:rPr>
              <w:t>Commenter</w:t>
            </w:r>
            <w:proofErr w:type="gramStart"/>
            <w:r w:rsidRPr="00F752AE">
              <w:rPr>
                <w:rFonts w:cstheme="minorHAnsi"/>
                <w:b/>
                <w:bCs/>
                <w:lang w:val="en-US"/>
              </w:rPr>
              <w:t>:  Stantec</w:t>
            </w:r>
            <w:proofErr w:type="gramEnd"/>
            <w:r w:rsidRPr="00F752AE">
              <w:rPr>
                <w:rFonts w:cstheme="minorHAnsi"/>
                <w:b/>
                <w:bCs/>
                <w:lang w:val="en-US"/>
              </w:rPr>
              <w:t xml:space="preserve"> Consulting Ltd. (Peer Review on behalf of the County of Peterborough)</w:t>
            </w:r>
          </w:p>
        </w:tc>
      </w:tr>
      <w:tr w:rsidR="0003595F" w:rsidRPr="00F752AE" w14:paraId="7DB20C1A" w14:textId="77777777" w:rsidTr="00D30671">
        <w:tc>
          <w:tcPr>
            <w:tcW w:w="555" w:type="dxa"/>
            <w:shd w:val="clear" w:color="auto" w:fill="E5ECEF"/>
            <w:vAlign w:val="center"/>
          </w:tcPr>
          <w:p w14:paraId="3B21F0CD" w14:textId="77777777" w:rsidR="0003595F" w:rsidRPr="00F752AE" w:rsidRDefault="0003595F" w:rsidP="00D30671">
            <w:pPr>
              <w:rPr>
                <w:rFonts w:cstheme="minorHAnsi"/>
                <w:lang w:val="en-US"/>
              </w:rPr>
            </w:pPr>
            <w:r w:rsidRPr="00F752AE">
              <w:rPr>
                <w:rFonts w:cstheme="minorHAnsi"/>
                <w:lang w:val="en-US"/>
              </w:rPr>
              <w:t>1</w:t>
            </w:r>
          </w:p>
        </w:tc>
        <w:tc>
          <w:tcPr>
            <w:tcW w:w="8800" w:type="dxa"/>
            <w:shd w:val="clear" w:color="auto" w:fill="E5ECEF"/>
            <w:vAlign w:val="center"/>
          </w:tcPr>
          <w:p w14:paraId="201FC41D" w14:textId="7B8D0477" w:rsidR="0003595F" w:rsidRPr="0003595F" w:rsidRDefault="0003595F" w:rsidP="0003595F">
            <w:pPr>
              <w:rPr>
                <w:rFonts w:cstheme="minorHAnsi"/>
              </w:rPr>
            </w:pPr>
            <w:r w:rsidRPr="0003595F">
              <w:rPr>
                <w:rFonts w:cstheme="minorHAnsi"/>
              </w:rPr>
              <w:t xml:space="preserve">The report doesn’t include the design criteria for the proposed water supply system. Please include the design criteria used to design the proposed water supply system </w:t>
            </w:r>
          </w:p>
        </w:tc>
        <w:tc>
          <w:tcPr>
            <w:tcW w:w="1208" w:type="dxa"/>
            <w:shd w:val="clear" w:color="auto" w:fill="E5ECEF"/>
            <w:vAlign w:val="center"/>
          </w:tcPr>
          <w:p w14:paraId="7DB345A1" w14:textId="79D8FB47" w:rsidR="0003595F" w:rsidRPr="00F752AE" w:rsidRDefault="00891715" w:rsidP="00D30671">
            <w:pPr>
              <w:jc w:val="center"/>
              <w:rPr>
                <w:rFonts w:cstheme="minorHAnsi"/>
                <w:lang w:val="en-US"/>
              </w:rPr>
            </w:pPr>
            <w:r>
              <w:rPr>
                <w:rFonts w:cstheme="minorHAnsi"/>
                <w:lang w:val="en-US"/>
              </w:rPr>
              <w:t>Biddle</w:t>
            </w:r>
          </w:p>
        </w:tc>
        <w:tc>
          <w:tcPr>
            <w:tcW w:w="3922" w:type="dxa"/>
            <w:shd w:val="clear" w:color="auto" w:fill="E5ECEF"/>
            <w:vAlign w:val="center"/>
          </w:tcPr>
          <w:p w14:paraId="61831B0F" w14:textId="2541FC14" w:rsidR="0003595F" w:rsidRPr="00F752AE" w:rsidRDefault="00894F40" w:rsidP="00D30671">
            <w:pPr>
              <w:rPr>
                <w:rFonts w:cstheme="minorHAnsi"/>
                <w:lang w:val="en-US"/>
              </w:rPr>
            </w:pPr>
            <w:r>
              <w:rPr>
                <w:rFonts w:cstheme="minorHAnsi"/>
                <w:lang w:val="en-US"/>
              </w:rPr>
              <w:t xml:space="preserve">As outlined in the Functional Servicing and Stormwater Management report, the domestic water supply for each dwelling will be supplied by individual water wells on each lot installed by well driller, licensed by the Ministry of Environment. </w:t>
            </w:r>
          </w:p>
        </w:tc>
      </w:tr>
      <w:tr w:rsidR="0003595F" w:rsidRPr="00F752AE" w14:paraId="3CE346CB" w14:textId="77777777" w:rsidTr="00D30671">
        <w:tc>
          <w:tcPr>
            <w:tcW w:w="555" w:type="dxa"/>
            <w:shd w:val="clear" w:color="auto" w:fill="E5ECEF"/>
            <w:vAlign w:val="center"/>
          </w:tcPr>
          <w:p w14:paraId="328732BD" w14:textId="77777777" w:rsidR="0003595F" w:rsidRPr="00F752AE" w:rsidRDefault="0003595F" w:rsidP="00D30671">
            <w:pPr>
              <w:rPr>
                <w:rFonts w:cstheme="minorHAnsi"/>
                <w:lang w:val="en-US"/>
              </w:rPr>
            </w:pPr>
            <w:r w:rsidRPr="00F752AE">
              <w:rPr>
                <w:rFonts w:cstheme="minorHAnsi"/>
                <w:lang w:val="en-US"/>
              </w:rPr>
              <w:t>2</w:t>
            </w:r>
          </w:p>
        </w:tc>
        <w:tc>
          <w:tcPr>
            <w:tcW w:w="8800" w:type="dxa"/>
            <w:shd w:val="clear" w:color="auto" w:fill="E5ECEF"/>
            <w:vAlign w:val="center"/>
          </w:tcPr>
          <w:p w14:paraId="07B248B7" w14:textId="26E35DAA" w:rsidR="0003595F" w:rsidRPr="0003595F" w:rsidRDefault="0003595F" w:rsidP="0003595F">
            <w:pPr>
              <w:rPr>
                <w:rFonts w:cstheme="minorHAnsi"/>
              </w:rPr>
            </w:pPr>
            <w:r w:rsidRPr="0003595F">
              <w:rPr>
                <w:rFonts w:cstheme="minorHAnsi"/>
              </w:rPr>
              <w:t xml:space="preserve">Please provide calculations for the domestic water demand for the proposed development based on the above design criteria and confirm that the design will satisfy these criteria. </w:t>
            </w:r>
          </w:p>
        </w:tc>
        <w:tc>
          <w:tcPr>
            <w:tcW w:w="1208" w:type="dxa"/>
            <w:shd w:val="clear" w:color="auto" w:fill="E5ECEF"/>
          </w:tcPr>
          <w:p w14:paraId="5D9C55F7" w14:textId="1E537772" w:rsidR="0003595F" w:rsidRPr="00F752AE" w:rsidRDefault="00891715" w:rsidP="00D30671">
            <w:pPr>
              <w:jc w:val="center"/>
              <w:rPr>
                <w:rFonts w:cstheme="minorHAnsi"/>
                <w:lang w:val="en-US"/>
              </w:rPr>
            </w:pPr>
            <w:r>
              <w:rPr>
                <w:rFonts w:cstheme="minorHAnsi"/>
                <w:lang w:val="en-US"/>
              </w:rPr>
              <w:t xml:space="preserve">Biddle </w:t>
            </w:r>
          </w:p>
        </w:tc>
        <w:tc>
          <w:tcPr>
            <w:tcW w:w="3922" w:type="dxa"/>
            <w:shd w:val="clear" w:color="auto" w:fill="E5ECEF"/>
            <w:vAlign w:val="center"/>
          </w:tcPr>
          <w:p w14:paraId="519ADB7E" w14:textId="2F1EE1D8" w:rsidR="0003595F" w:rsidRPr="00F752AE" w:rsidRDefault="00894F40" w:rsidP="00D30671">
            <w:pPr>
              <w:rPr>
                <w:rFonts w:cstheme="minorHAnsi"/>
                <w:lang w:val="en-US"/>
              </w:rPr>
            </w:pPr>
            <w:r>
              <w:rPr>
                <w:rFonts w:cstheme="minorHAnsi"/>
                <w:lang w:val="en-US"/>
              </w:rPr>
              <w:t>As outlined above, drilled wells will be installed on each lot.</w:t>
            </w:r>
          </w:p>
        </w:tc>
      </w:tr>
      <w:tr w:rsidR="0003595F" w:rsidRPr="00F752AE" w14:paraId="2A76D3E8" w14:textId="77777777" w:rsidTr="00D30671">
        <w:tc>
          <w:tcPr>
            <w:tcW w:w="555" w:type="dxa"/>
            <w:shd w:val="clear" w:color="auto" w:fill="E5ECEF"/>
            <w:vAlign w:val="center"/>
          </w:tcPr>
          <w:p w14:paraId="761FA14D" w14:textId="77777777" w:rsidR="0003595F" w:rsidRPr="00F752AE" w:rsidRDefault="0003595F" w:rsidP="00D30671">
            <w:pPr>
              <w:rPr>
                <w:rFonts w:cstheme="minorHAnsi"/>
                <w:lang w:val="en-US"/>
              </w:rPr>
            </w:pPr>
            <w:r w:rsidRPr="00F752AE">
              <w:rPr>
                <w:rFonts w:cstheme="minorHAnsi"/>
                <w:lang w:val="en-US"/>
              </w:rPr>
              <w:t>3</w:t>
            </w:r>
          </w:p>
        </w:tc>
        <w:tc>
          <w:tcPr>
            <w:tcW w:w="8800" w:type="dxa"/>
            <w:shd w:val="clear" w:color="auto" w:fill="E5ECEF"/>
            <w:vAlign w:val="center"/>
          </w:tcPr>
          <w:p w14:paraId="367BF2B8" w14:textId="6C2E5F5F" w:rsidR="0003595F" w:rsidRPr="0003595F" w:rsidRDefault="0003595F" w:rsidP="0003595F">
            <w:pPr>
              <w:rPr>
                <w:rFonts w:cstheme="minorHAnsi"/>
              </w:rPr>
            </w:pPr>
            <w:r w:rsidRPr="0003595F">
              <w:rPr>
                <w:rFonts w:cstheme="minorHAnsi"/>
              </w:rPr>
              <w:t xml:space="preserve">Please provide details to confirm that the drinking water supply to the proposed development will satisfy all quality requirements. Please include additional measures if the quality requirements are not satisfied. </w:t>
            </w:r>
          </w:p>
        </w:tc>
        <w:tc>
          <w:tcPr>
            <w:tcW w:w="1208" w:type="dxa"/>
            <w:shd w:val="clear" w:color="auto" w:fill="E5ECEF"/>
          </w:tcPr>
          <w:p w14:paraId="4C1B5E7A" w14:textId="57A5B57C" w:rsidR="0003595F" w:rsidRPr="00F752AE" w:rsidRDefault="00891715" w:rsidP="00D30671">
            <w:pPr>
              <w:jc w:val="center"/>
              <w:rPr>
                <w:rFonts w:cstheme="minorHAnsi"/>
                <w:lang w:val="en-US"/>
              </w:rPr>
            </w:pPr>
            <w:r>
              <w:rPr>
                <w:rFonts w:cstheme="minorHAnsi"/>
                <w:lang w:val="en-US"/>
              </w:rPr>
              <w:t xml:space="preserve">Biddle </w:t>
            </w:r>
          </w:p>
        </w:tc>
        <w:tc>
          <w:tcPr>
            <w:tcW w:w="3922" w:type="dxa"/>
            <w:shd w:val="clear" w:color="auto" w:fill="E5ECEF"/>
            <w:vAlign w:val="center"/>
          </w:tcPr>
          <w:p w14:paraId="51043BCC" w14:textId="17A413F3" w:rsidR="0003595F" w:rsidRPr="00F752AE" w:rsidRDefault="00894F40" w:rsidP="00D30671">
            <w:pPr>
              <w:rPr>
                <w:rFonts w:cstheme="minorHAnsi"/>
                <w:lang w:val="en-US"/>
              </w:rPr>
            </w:pPr>
            <w:r>
              <w:rPr>
                <w:rFonts w:cstheme="minorHAnsi"/>
                <w:lang w:val="en-US"/>
              </w:rPr>
              <w:t xml:space="preserve">As outlined above, the drilled wells to be provided are to be installed by a well driller licensed by the Ministry of Environment. It is their responsibility to ensure water quality requirements are satisfied. </w:t>
            </w:r>
          </w:p>
        </w:tc>
      </w:tr>
      <w:tr w:rsidR="0003595F" w:rsidRPr="00F752AE" w14:paraId="64CC8AC3" w14:textId="77777777" w:rsidTr="00D30671">
        <w:tc>
          <w:tcPr>
            <w:tcW w:w="555" w:type="dxa"/>
            <w:shd w:val="clear" w:color="auto" w:fill="E5ECEF"/>
            <w:vAlign w:val="center"/>
          </w:tcPr>
          <w:p w14:paraId="2BAC3A1B" w14:textId="77777777" w:rsidR="0003595F" w:rsidRPr="00F752AE" w:rsidRDefault="0003595F" w:rsidP="00D30671">
            <w:pPr>
              <w:rPr>
                <w:rFonts w:cstheme="minorHAnsi"/>
                <w:lang w:val="en-US"/>
              </w:rPr>
            </w:pPr>
            <w:r w:rsidRPr="00F752AE">
              <w:rPr>
                <w:rFonts w:cstheme="minorHAnsi"/>
                <w:lang w:val="en-US"/>
              </w:rPr>
              <w:t>4</w:t>
            </w:r>
          </w:p>
        </w:tc>
        <w:tc>
          <w:tcPr>
            <w:tcW w:w="8800" w:type="dxa"/>
            <w:shd w:val="clear" w:color="auto" w:fill="E5ECEF"/>
            <w:vAlign w:val="center"/>
          </w:tcPr>
          <w:p w14:paraId="093DFAF3" w14:textId="07A6D91A" w:rsidR="0003595F" w:rsidRPr="0003595F" w:rsidRDefault="0003595F" w:rsidP="0003595F">
            <w:pPr>
              <w:rPr>
                <w:rFonts w:cstheme="minorHAnsi"/>
              </w:rPr>
            </w:pPr>
            <w:r w:rsidRPr="0003595F">
              <w:rPr>
                <w:rFonts w:cstheme="minorHAnsi"/>
              </w:rPr>
              <w:t>Section 3.2 states that detailed sizing of the individual septic systems will occur at building permit submission. The report doesn’t include any information related to the proposed sanitary, therefore review of the proposed system will be completed when the design is submitted.</w:t>
            </w:r>
          </w:p>
        </w:tc>
        <w:tc>
          <w:tcPr>
            <w:tcW w:w="1208" w:type="dxa"/>
            <w:shd w:val="clear" w:color="auto" w:fill="E5ECEF"/>
            <w:vAlign w:val="center"/>
          </w:tcPr>
          <w:p w14:paraId="29D0E74A" w14:textId="2710E9ED"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4E45BF66" w14:textId="4F6DA281" w:rsidR="0003595F" w:rsidRPr="00F752AE" w:rsidRDefault="006A4896" w:rsidP="00D30671">
            <w:pPr>
              <w:rPr>
                <w:rFonts w:cstheme="minorHAnsi"/>
                <w:lang w:val="en-US"/>
              </w:rPr>
            </w:pPr>
            <w:r>
              <w:rPr>
                <w:rFonts w:cstheme="minorHAnsi"/>
                <w:lang w:val="en-US"/>
              </w:rPr>
              <w:t xml:space="preserve">Noted. </w:t>
            </w:r>
          </w:p>
        </w:tc>
      </w:tr>
      <w:tr w:rsidR="0003595F" w:rsidRPr="00F752AE" w14:paraId="69A512ED" w14:textId="77777777" w:rsidTr="00D30671">
        <w:tc>
          <w:tcPr>
            <w:tcW w:w="555" w:type="dxa"/>
            <w:shd w:val="clear" w:color="auto" w:fill="E5ECEF"/>
            <w:vAlign w:val="center"/>
          </w:tcPr>
          <w:p w14:paraId="15F44B76" w14:textId="77777777" w:rsidR="0003595F" w:rsidRPr="00F752AE" w:rsidRDefault="0003595F" w:rsidP="00D30671">
            <w:pPr>
              <w:rPr>
                <w:rFonts w:cstheme="minorHAnsi"/>
                <w:lang w:val="en-US"/>
              </w:rPr>
            </w:pPr>
            <w:r w:rsidRPr="00F752AE">
              <w:rPr>
                <w:rFonts w:cstheme="minorHAnsi"/>
                <w:lang w:val="en-US"/>
              </w:rPr>
              <w:t>5</w:t>
            </w:r>
          </w:p>
        </w:tc>
        <w:tc>
          <w:tcPr>
            <w:tcW w:w="8800" w:type="dxa"/>
            <w:shd w:val="clear" w:color="auto" w:fill="E5ECEF"/>
            <w:vAlign w:val="center"/>
          </w:tcPr>
          <w:p w14:paraId="57FFA191" w14:textId="349BE5C4" w:rsidR="0003595F" w:rsidRPr="0003595F" w:rsidRDefault="0003595F" w:rsidP="0003595F">
            <w:pPr>
              <w:rPr>
                <w:rFonts w:cstheme="minorHAnsi"/>
              </w:rPr>
            </w:pPr>
            <w:r w:rsidRPr="0003595F">
              <w:rPr>
                <w:rFonts w:cstheme="minorHAnsi"/>
              </w:rPr>
              <w:t xml:space="preserve">Section 5, stormwater quantity control, provides brief information about the four existing and proposed drainage areas. Please include all the necessary details to describe the existing and proposed drainage patterns, the runoff coefficients, the total area of each of the four segments. </w:t>
            </w:r>
          </w:p>
        </w:tc>
        <w:tc>
          <w:tcPr>
            <w:tcW w:w="1208" w:type="dxa"/>
            <w:shd w:val="clear" w:color="auto" w:fill="E5ECEF"/>
          </w:tcPr>
          <w:p w14:paraId="04E61E42" w14:textId="46339DCE" w:rsidR="0003595F" w:rsidRPr="00F752AE" w:rsidRDefault="006A4896" w:rsidP="006A4896">
            <w:pPr>
              <w:jc w:val="center"/>
              <w:rPr>
                <w:rFonts w:cstheme="minorHAnsi"/>
                <w:lang w:val="en-US"/>
              </w:rPr>
            </w:pPr>
            <w:r>
              <w:rPr>
                <w:rFonts w:cstheme="minorHAnsi"/>
                <w:lang w:val="en-US"/>
              </w:rPr>
              <w:t>Biddle</w:t>
            </w:r>
          </w:p>
        </w:tc>
        <w:tc>
          <w:tcPr>
            <w:tcW w:w="3922" w:type="dxa"/>
            <w:shd w:val="clear" w:color="auto" w:fill="E5ECEF"/>
            <w:vAlign w:val="center"/>
          </w:tcPr>
          <w:p w14:paraId="0B2370A5" w14:textId="1C1D314D" w:rsidR="0003595F" w:rsidRPr="00F752AE" w:rsidRDefault="00DB1B4F" w:rsidP="00D30671">
            <w:pPr>
              <w:rPr>
                <w:rFonts w:cstheme="minorHAnsi"/>
                <w:lang w:val="en-US"/>
              </w:rPr>
            </w:pPr>
            <w:r>
              <w:rPr>
                <w:rFonts w:cstheme="minorHAnsi"/>
                <w:lang w:val="en-US"/>
              </w:rPr>
              <w:t xml:space="preserve">The requested information with respect to description of existing and proposed drainage patterns, the runoff coefficients and the total area of each of the four segments have been added to the corresponding sections of the report, Sections 5.1 to 5.4. </w:t>
            </w:r>
          </w:p>
        </w:tc>
      </w:tr>
      <w:tr w:rsidR="0003595F" w:rsidRPr="00F752AE" w14:paraId="6CE6980D" w14:textId="77777777" w:rsidTr="00D30671">
        <w:tc>
          <w:tcPr>
            <w:tcW w:w="555" w:type="dxa"/>
            <w:shd w:val="clear" w:color="auto" w:fill="E5ECEF"/>
            <w:vAlign w:val="center"/>
          </w:tcPr>
          <w:p w14:paraId="7CD3F5A5" w14:textId="77777777" w:rsidR="0003595F" w:rsidRPr="00F752AE" w:rsidRDefault="0003595F" w:rsidP="00D30671">
            <w:pPr>
              <w:rPr>
                <w:rFonts w:cstheme="minorHAnsi"/>
                <w:lang w:val="en-US"/>
              </w:rPr>
            </w:pPr>
            <w:r w:rsidRPr="00F752AE">
              <w:rPr>
                <w:rFonts w:cstheme="minorHAnsi"/>
                <w:lang w:val="en-US"/>
              </w:rPr>
              <w:t>6</w:t>
            </w:r>
          </w:p>
        </w:tc>
        <w:tc>
          <w:tcPr>
            <w:tcW w:w="8800" w:type="dxa"/>
            <w:shd w:val="clear" w:color="auto" w:fill="E5ECEF"/>
            <w:vAlign w:val="center"/>
          </w:tcPr>
          <w:p w14:paraId="6A83BC31" w14:textId="330DD472" w:rsidR="0003595F" w:rsidRPr="0003595F" w:rsidRDefault="0003595F" w:rsidP="0003595F">
            <w:pPr>
              <w:rPr>
                <w:rFonts w:cstheme="minorHAnsi"/>
              </w:rPr>
            </w:pPr>
            <w:r w:rsidRPr="0003595F">
              <w:rPr>
                <w:rFonts w:cstheme="minorHAnsi"/>
              </w:rPr>
              <w:t xml:space="preserve">The report should include a section about the stormwater management design criteria, which includes information about all the municipal and conservation authority criteria for quality control, quantity control, water balance and erosion control. </w:t>
            </w:r>
          </w:p>
        </w:tc>
        <w:tc>
          <w:tcPr>
            <w:tcW w:w="1208" w:type="dxa"/>
            <w:shd w:val="clear" w:color="auto" w:fill="E5ECEF"/>
          </w:tcPr>
          <w:p w14:paraId="5AD78A60" w14:textId="4E3C4563"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19E47844" w14:textId="429B3C79" w:rsidR="0003595F" w:rsidRPr="00F752AE" w:rsidRDefault="00330535" w:rsidP="00D30671">
            <w:pPr>
              <w:rPr>
                <w:rFonts w:cstheme="minorHAnsi"/>
                <w:lang w:val="en-US"/>
              </w:rPr>
            </w:pPr>
            <w:r>
              <w:rPr>
                <w:rFonts w:cstheme="minorHAnsi"/>
                <w:lang w:val="en-US"/>
              </w:rPr>
              <w:t xml:space="preserve">Quality and quantity control were designed in accordance with the MOE SWM Planning and Design Manual, March 2003. Infiltration galleries have been sized to address the stream erosion concerns. A feature-based water balance will be completed through detailed design. </w:t>
            </w:r>
          </w:p>
        </w:tc>
      </w:tr>
      <w:tr w:rsidR="0003595F" w:rsidRPr="00F752AE" w14:paraId="42648D31" w14:textId="77777777" w:rsidTr="00D30671">
        <w:tc>
          <w:tcPr>
            <w:tcW w:w="555" w:type="dxa"/>
            <w:shd w:val="clear" w:color="auto" w:fill="E5ECEF"/>
            <w:vAlign w:val="center"/>
          </w:tcPr>
          <w:p w14:paraId="65641246" w14:textId="77777777" w:rsidR="0003595F" w:rsidRPr="00F752AE" w:rsidRDefault="0003595F" w:rsidP="00D30671">
            <w:pPr>
              <w:rPr>
                <w:rFonts w:cstheme="minorHAnsi"/>
                <w:lang w:val="en-US"/>
              </w:rPr>
            </w:pPr>
            <w:r w:rsidRPr="00F752AE">
              <w:rPr>
                <w:rFonts w:cstheme="minorHAnsi"/>
                <w:lang w:val="en-US"/>
              </w:rPr>
              <w:t>7</w:t>
            </w:r>
          </w:p>
        </w:tc>
        <w:tc>
          <w:tcPr>
            <w:tcW w:w="8800" w:type="dxa"/>
            <w:shd w:val="clear" w:color="auto" w:fill="E5ECEF"/>
            <w:vAlign w:val="center"/>
          </w:tcPr>
          <w:p w14:paraId="4B1DE278" w14:textId="70B6E220" w:rsidR="0003595F" w:rsidRPr="0003595F" w:rsidRDefault="0003595F" w:rsidP="0003595F">
            <w:pPr>
              <w:rPr>
                <w:rFonts w:cstheme="minorHAnsi"/>
              </w:rPr>
            </w:pPr>
            <w:r w:rsidRPr="0003595F">
              <w:rPr>
                <w:rFonts w:cstheme="minorHAnsi"/>
              </w:rPr>
              <w:t xml:space="preserve">Sections 5.1 to 5.4 of the report provides information about the existing and proposed conditions of the areas draining to the four outlet pints (A, B, C &amp; D). Please include the area of each catchment and show the boundary of each area clearly in the drawings. </w:t>
            </w:r>
          </w:p>
        </w:tc>
        <w:tc>
          <w:tcPr>
            <w:tcW w:w="1208" w:type="dxa"/>
            <w:shd w:val="clear" w:color="auto" w:fill="E5ECEF"/>
          </w:tcPr>
          <w:p w14:paraId="5485E3AB" w14:textId="2CA85B92"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2F7BFB4D" w14:textId="1F9EC8DB" w:rsidR="0003595F" w:rsidRPr="00F752AE" w:rsidRDefault="00DB1B4F" w:rsidP="00D30671">
            <w:pPr>
              <w:rPr>
                <w:rFonts w:cstheme="minorHAnsi"/>
                <w:lang w:val="en-US"/>
              </w:rPr>
            </w:pPr>
            <w:r>
              <w:rPr>
                <w:rFonts w:cstheme="minorHAnsi"/>
                <w:lang w:val="en-US"/>
              </w:rPr>
              <w:t xml:space="preserve">The area of each catchment </w:t>
            </w:r>
            <w:r w:rsidR="00330535">
              <w:rPr>
                <w:rFonts w:cstheme="minorHAnsi"/>
                <w:lang w:val="en-US"/>
              </w:rPr>
              <w:t xml:space="preserve">is included </w:t>
            </w:r>
            <w:proofErr w:type="gramStart"/>
            <w:r w:rsidR="00330535">
              <w:rPr>
                <w:rFonts w:cstheme="minorHAnsi"/>
                <w:lang w:val="en-US"/>
              </w:rPr>
              <w:t>on</w:t>
            </w:r>
            <w:proofErr w:type="gramEnd"/>
            <w:r w:rsidR="00330535">
              <w:rPr>
                <w:rFonts w:cstheme="minorHAnsi"/>
                <w:lang w:val="en-US"/>
              </w:rPr>
              <w:t xml:space="preserve"> the storm drainage schemes, drawings SD-1 to SD-5. </w:t>
            </w:r>
          </w:p>
        </w:tc>
      </w:tr>
      <w:tr w:rsidR="0003595F" w:rsidRPr="00F752AE" w14:paraId="5ECCD49A" w14:textId="77777777" w:rsidTr="00D30671">
        <w:tc>
          <w:tcPr>
            <w:tcW w:w="555" w:type="dxa"/>
            <w:shd w:val="clear" w:color="auto" w:fill="E5ECEF"/>
            <w:vAlign w:val="center"/>
          </w:tcPr>
          <w:p w14:paraId="787F79D3" w14:textId="4BEA48ED" w:rsidR="0003595F" w:rsidRPr="00F752AE" w:rsidRDefault="0003595F" w:rsidP="00D30671">
            <w:pPr>
              <w:rPr>
                <w:rFonts w:cstheme="minorHAnsi"/>
                <w:lang w:val="en-US"/>
              </w:rPr>
            </w:pPr>
            <w:r>
              <w:rPr>
                <w:rFonts w:cstheme="minorHAnsi"/>
                <w:lang w:val="en-US"/>
              </w:rPr>
              <w:t>8</w:t>
            </w:r>
          </w:p>
        </w:tc>
        <w:tc>
          <w:tcPr>
            <w:tcW w:w="8800" w:type="dxa"/>
            <w:shd w:val="clear" w:color="auto" w:fill="E5ECEF"/>
            <w:vAlign w:val="center"/>
          </w:tcPr>
          <w:p w14:paraId="4D718F5C" w14:textId="26C50E00" w:rsidR="0003595F" w:rsidRPr="0003595F" w:rsidRDefault="0003595F" w:rsidP="0003595F">
            <w:pPr>
              <w:rPr>
                <w:rFonts w:cstheme="minorHAnsi"/>
              </w:rPr>
            </w:pPr>
            <w:r w:rsidRPr="0003595F">
              <w:rPr>
                <w:rFonts w:cstheme="minorHAnsi"/>
              </w:rPr>
              <w:t xml:space="preserve">The site includes a Provincially Significant Wetland (PSW). Please state the requirements for development in the vicinity of the PSW, and details of the measures adopted to satisfy these requirements. </w:t>
            </w:r>
          </w:p>
        </w:tc>
        <w:tc>
          <w:tcPr>
            <w:tcW w:w="1208" w:type="dxa"/>
            <w:shd w:val="clear" w:color="auto" w:fill="E5ECEF"/>
          </w:tcPr>
          <w:p w14:paraId="18959211" w14:textId="74AA3655"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3D116141" w14:textId="5C56C2EF" w:rsidR="0003595F" w:rsidRPr="00F752AE" w:rsidRDefault="002960E6" w:rsidP="00D30671">
            <w:pPr>
              <w:rPr>
                <w:rFonts w:cstheme="minorHAnsi"/>
                <w:lang w:val="en-US"/>
              </w:rPr>
            </w:pPr>
            <w:r>
              <w:rPr>
                <w:rFonts w:cstheme="minorHAnsi"/>
                <w:lang w:val="en-US"/>
              </w:rPr>
              <w:t xml:space="preserve">To ensure no adverse effects on the provincially significant wetland (PSW), a 30m wetland buffer has been illustrated on the provided plans. </w:t>
            </w:r>
          </w:p>
        </w:tc>
      </w:tr>
      <w:tr w:rsidR="0003595F" w:rsidRPr="00F752AE" w14:paraId="250F4A6C" w14:textId="77777777" w:rsidTr="00D30671">
        <w:tc>
          <w:tcPr>
            <w:tcW w:w="555" w:type="dxa"/>
            <w:shd w:val="clear" w:color="auto" w:fill="E5ECEF"/>
            <w:vAlign w:val="center"/>
          </w:tcPr>
          <w:p w14:paraId="66ECC419" w14:textId="75FC7FA4" w:rsidR="0003595F" w:rsidRPr="00F752AE" w:rsidRDefault="0003595F" w:rsidP="00D30671">
            <w:pPr>
              <w:rPr>
                <w:rFonts w:cstheme="minorHAnsi"/>
                <w:lang w:val="en-US"/>
              </w:rPr>
            </w:pPr>
            <w:r>
              <w:rPr>
                <w:rFonts w:cstheme="minorHAnsi"/>
                <w:lang w:val="en-US"/>
              </w:rPr>
              <w:lastRenderedPageBreak/>
              <w:t>9</w:t>
            </w:r>
          </w:p>
        </w:tc>
        <w:tc>
          <w:tcPr>
            <w:tcW w:w="8800" w:type="dxa"/>
            <w:shd w:val="clear" w:color="auto" w:fill="E5ECEF"/>
            <w:vAlign w:val="center"/>
          </w:tcPr>
          <w:p w14:paraId="242BD816" w14:textId="353AAB29" w:rsidR="0003595F" w:rsidRPr="0003595F" w:rsidRDefault="0003595F" w:rsidP="0003595F">
            <w:pPr>
              <w:rPr>
                <w:rFonts w:cstheme="minorHAnsi"/>
              </w:rPr>
            </w:pPr>
            <w:r w:rsidRPr="0003595F">
              <w:rPr>
                <w:rFonts w:cstheme="minorHAnsi"/>
              </w:rPr>
              <w:t xml:space="preserve">The report doesn’t include any information related to the water balance requirements, and the measures proposed to satisfy these requirements. Please provide a section about water balance requirements, and how it will be satisfied. </w:t>
            </w:r>
          </w:p>
        </w:tc>
        <w:tc>
          <w:tcPr>
            <w:tcW w:w="1208" w:type="dxa"/>
            <w:shd w:val="clear" w:color="auto" w:fill="E5ECEF"/>
          </w:tcPr>
          <w:p w14:paraId="410D9823" w14:textId="2F24EF34"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41924FE1" w14:textId="5E9BB51A" w:rsidR="0003595F" w:rsidRPr="00F752AE" w:rsidRDefault="00330535" w:rsidP="00D30671">
            <w:pPr>
              <w:rPr>
                <w:rFonts w:cstheme="minorHAnsi"/>
                <w:lang w:val="en-US"/>
              </w:rPr>
            </w:pPr>
            <w:r>
              <w:rPr>
                <w:rFonts w:cstheme="minorHAnsi"/>
                <w:lang w:val="en-US"/>
              </w:rPr>
              <w:t xml:space="preserve">The water balance will be done through detailed design. </w:t>
            </w:r>
          </w:p>
        </w:tc>
      </w:tr>
      <w:tr w:rsidR="0003595F" w:rsidRPr="00F752AE" w14:paraId="203FD565" w14:textId="77777777" w:rsidTr="00D30671">
        <w:tc>
          <w:tcPr>
            <w:tcW w:w="555" w:type="dxa"/>
            <w:shd w:val="clear" w:color="auto" w:fill="E5ECEF"/>
            <w:vAlign w:val="center"/>
          </w:tcPr>
          <w:p w14:paraId="229B84CD" w14:textId="56F127A5" w:rsidR="0003595F" w:rsidRPr="00F752AE" w:rsidRDefault="0003595F" w:rsidP="00D30671">
            <w:pPr>
              <w:rPr>
                <w:rFonts w:cstheme="minorHAnsi"/>
                <w:lang w:val="en-US"/>
              </w:rPr>
            </w:pPr>
            <w:r>
              <w:rPr>
                <w:rFonts w:cstheme="minorHAnsi"/>
                <w:lang w:val="en-US"/>
              </w:rPr>
              <w:t>10</w:t>
            </w:r>
          </w:p>
        </w:tc>
        <w:tc>
          <w:tcPr>
            <w:tcW w:w="8800" w:type="dxa"/>
            <w:shd w:val="clear" w:color="auto" w:fill="E5ECEF"/>
            <w:vAlign w:val="center"/>
          </w:tcPr>
          <w:p w14:paraId="4342669E" w14:textId="4B130F31" w:rsidR="0003595F" w:rsidRPr="0003595F" w:rsidRDefault="0003595F" w:rsidP="0003595F">
            <w:pPr>
              <w:rPr>
                <w:rFonts w:cstheme="minorHAnsi"/>
              </w:rPr>
            </w:pPr>
            <w:r w:rsidRPr="0003595F">
              <w:rPr>
                <w:rFonts w:cstheme="minorHAnsi"/>
              </w:rPr>
              <w:t xml:space="preserve">Section 5.4 states that “The post-development area draining to the second low point with similar imperviousness compared to pre-development area, is proposed to be reduced, therefore, this was not assessed. “Please provide further details and analysis to confirm this statement. </w:t>
            </w:r>
          </w:p>
        </w:tc>
        <w:tc>
          <w:tcPr>
            <w:tcW w:w="1208" w:type="dxa"/>
            <w:shd w:val="clear" w:color="auto" w:fill="E5ECEF"/>
          </w:tcPr>
          <w:p w14:paraId="65679370" w14:textId="043617E9"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519019EF" w14:textId="2590EB38" w:rsidR="0003595F" w:rsidRPr="00F752AE" w:rsidRDefault="00192F65" w:rsidP="00D30671">
            <w:pPr>
              <w:rPr>
                <w:rFonts w:cstheme="minorHAnsi"/>
                <w:lang w:val="en-US"/>
              </w:rPr>
            </w:pPr>
            <w:r>
              <w:rPr>
                <w:rFonts w:cstheme="minorHAnsi"/>
                <w:lang w:val="en-US"/>
              </w:rPr>
              <w:t xml:space="preserve">As part of this resubmission, analysis has been provided to confirm this statement. It now reads that the post-development flows have been attenuated to the pre-development levels due to a decrease in </w:t>
            </w:r>
            <w:proofErr w:type="gramStart"/>
            <w:r>
              <w:rPr>
                <w:rFonts w:cstheme="minorHAnsi"/>
                <w:lang w:val="en-US"/>
              </w:rPr>
              <w:t>impervious</w:t>
            </w:r>
            <w:proofErr w:type="gramEnd"/>
            <w:r>
              <w:rPr>
                <w:rFonts w:cstheme="minorHAnsi"/>
                <w:lang w:val="en-US"/>
              </w:rPr>
              <w:t xml:space="preserve"> surface area. </w:t>
            </w:r>
            <w:r w:rsidR="006835E5">
              <w:rPr>
                <w:rFonts w:cstheme="minorHAnsi"/>
                <w:lang w:val="en-US"/>
              </w:rPr>
              <w:t xml:space="preserve">The area under pre-development draining to this point was 2.43ha and under proposed conditions will be 1.88ha at the same runoff coefficient. </w:t>
            </w:r>
          </w:p>
        </w:tc>
      </w:tr>
      <w:tr w:rsidR="0003595F" w:rsidRPr="00F752AE" w14:paraId="060A3F52" w14:textId="77777777" w:rsidTr="00D30671">
        <w:tc>
          <w:tcPr>
            <w:tcW w:w="555" w:type="dxa"/>
            <w:shd w:val="clear" w:color="auto" w:fill="E5ECEF"/>
            <w:vAlign w:val="center"/>
          </w:tcPr>
          <w:p w14:paraId="6BAB2F35" w14:textId="72228D93" w:rsidR="0003595F" w:rsidRDefault="0003595F" w:rsidP="00D30671">
            <w:pPr>
              <w:rPr>
                <w:rFonts w:cstheme="minorHAnsi"/>
                <w:lang w:val="en-US"/>
              </w:rPr>
            </w:pPr>
            <w:r>
              <w:rPr>
                <w:rFonts w:cstheme="minorHAnsi"/>
                <w:lang w:val="en-US"/>
              </w:rPr>
              <w:t>11</w:t>
            </w:r>
          </w:p>
        </w:tc>
        <w:tc>
          <w:tcPr>
            <w:tcW w:w="8800" w:type="dxa"/>
            <w:shd w:val="clear" w:color="auto" w:fill="E5ECEF"/>
            <w:vAlign w:val="center"/>
          </w:tcPr>
          <w:p w14:paraId="213F02CF" w14:textId="5036381A" w:rsidR="0003595F" w:rsidRPr="0003595F" w:rsidRDefault="0003595F" w:rsidP="0003595F">
            <w:pPr>
              <w:rPr>
                <w:rFonts w:cstheme="minorHAnsi"/>
              </w:rPr>
            </w:pPr>
            <w:r w:rsidRPr="0003595F">
              <w:rPr>
                <w:rFonts w:cstheme="minorHAnsi"/>
              </w:rPr>
              <w:t xml:space="preserve">Section 5.4 states that “The first low point on the southeast corner will attenuate the post-development flows to the pre-development levels.” Please provide further details and analysis to confirm this statement. </w:t>
            </w:r>
          </w:p>
        </w:tc>
        <w:tc>
          <w:tcPr>
            <w:tcW w:w="1208" w:type="dxa"/>
            <w:shd w:val="clear" w:color="auto" w:fill="E5ECEF"/>
          </w:tcPr>
          <w:p w14:paraId="095B9119" w14:textId="5F3417CC"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18DA3404" w14:textId="0806CF93" w:rsidR="0003595F" w:rsidRPr="00F752AE" w:rsidRDefault="00DB1B4F" w:rsidP="00D30671">
            <w:pPr>
              <w:rPr>
                <w:rFonts w:cstheme="minorHAnsi"/>
                <w:lang w:val="en-US"/>
              </w:rPr>
            </w:pPr>
            <w:r>
              <w:rPr>
                <w:rFonts w:cstheme="minorHAnsi"/>
                <w:lang w:val="en-US"/>
              </w:rPr>
              <w:t xml:space="preserve">This low point is denoted as Post-Development Hydraulic Point D. As outlined in Section 5.4, Table 4, the post-development flows were effectively reduced when compared to the pre-development levels. Therefore, analysis has been provided to confirm this statement. </w:t>
            </w:r>
          </w:p>
        </w:tc>
      </w:tr>
      <w:tr w:rsidR="0003595F" w:rsidRPr="00F752AE" w14:paraId="4C022DED" w14:textId="77777777" w:rsidTr="00D30671">
        <w:tc>
          <w:tcPr>
            <w:tcW w:w="555" w:type="dxa"/>
            <w:shd w:val="clear" w:color="auto" w:fill="E5ECEF"/>
            <w:vAlign w:val="center"/>
          </w:tcPr>
          <w:p w14:paraId="6D303760" w14:textId="7980AA50" w:rsidR="0003595F" w:rsidRDefault="0003595F" w:rsidP="00D30671">
            <w:pPr>
              <w:rPr>
                <w:rFonts w:cstheme="minorHAnsi"/>
                <w:lang w:val="en-US"/>
              </w:rPr>
            </w:pPr>
            <w:r>
              <w:rPr>
                <w:rFonts w:cstheme="minorHAnsi"/>
                <w:lang w:val="en-US"/>
              </w:rPr>
              <w:t>12</w:t>
            </w:r>
          </w:p>
        </w:tc>
        <w:tc>
          <w:tcPr>
            <w:tcW w:w="8800" w:type="dxa"/>
            <w:shd w:val="clear" w:color="auto" w:fill="E5ECEF"/>
            <w:vAlign w:val="center"/>
          </w:tcPr>
          <w:p w14:paraId="6DC94D24" w14:textId="25F2B1DF" w:rsidR="0003595F" w:rsidRPr="0003595F" w:rsidRDefault="0003595F" w:rsidP="0003595F">
            <w:pPr>
              <w:rPr>
                <w:rFonts w:cstheme="minorHAnsi"/>
              </w:rPr>
            </w:pPr>
            <w:r w:rsidRPr="0003595F">
              <w:rPr>
                <w:rFonts w:cstheme="minorHAnsi"/>
              </w:rPr>
              <w:t xml:space="preserve">Please confirm that the bottom of the infiltration trench is above the maximum ground water elevation and that the minimum distance is satisfied at all the locations. </w:t>
            </w:r>
          </w:p>
        </w:tc>
        <w:tc>
          <w:tcPr>
            <w:tcW w:w="1208" w:type="dxa"/>
            <w:shd w:val="clear" w:color="auto" w:fill="E5ECEF"/>
          </w:tcPr>
          <w:p w14:paraId="5EA1543D" w14:textId="57BBE36B"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5C99F564" w14:textId="3024DF9F" w:rsidR="0003595F" w:rsidRDefault="00DB1B4F" w:rsidP="00D30671">
            <w:pPr>
              <w:rPr>
                <w:rFonts w:cstheme="minorHAnsi"/>
                <w:lang w:val="en-US"/>
              </w:rPr>
            </w:pPr>
            <w:r>
              <w:rPr>
                <w:rFonts w:cstheme="minorHAnsi"/>
                <w:lang w:val="en-US"/>
              </w:rPr>
              <w:t xml:space="preserve">As outlined in </w:t>
            </w:r>
            <w:r w:rsidR="00192F65">
              <w:rPr>
                <w:rFonts w:cstheme="minorHAnsi"/>
                <w:lang w:val="en-US"/>
              </w:rPr>
              <w:t>the</w:t>
            </w:r>
            <w:r>
              <w:rPr>
                <w:rFonts w:cstheme="minorHAnsi"/>
                <w:lang w:val="en-US"/>
              </w:rPr>
              <w:t xml:space="preserve"> Hydrogeological Report, the groundwater at Infiltration Gallery A was found to be 2.29mbgs. Based on a ground height of 293.10m at the borehole, the groundwater elevation would be 290.81m. The bottom of the gallery is proposed at 292.42</w:t>
            </w:r>
            <w:r w:rsidR="00192F65">
              <w:rPr>
                <w:rFonts w:cstheme="minorHAnsi"/>
                <w:lang w:val="en-US"/>
              </w:rPr>
              <w:t>m, which</w:t>
            </w:r>
            <w:r>
              <w:rPr>
                <w:rFonts w:cstheme="minorHAnsi"/>
                <w:lang w:val="en-US"/>
              </w:rPr>
              <w:t xml:space="preserve"> is 1.61m above groundwater levels. This meets the required 1.0m of vertical separation to the bottom of the LID feature. </w:t>
            </w:r>
          </w:p>
          <w:p w14:paraId="44090C81" w14:textId="77777777" w:rsidR="00DB1B4F" w:rsidRDefault="00DB1B4F" w:rsidP="00D30671">
            <w:pPr>
              <w:rPr>
                <w:rFonts w:cstheme="minorHAnsi"/>
                <w:lang w:val="en-US"/>
              </w:rPr>
            </w:pPr>
          </w:p>
          <w:p w14:paraId="51E16FC5" w14:textId="037D0DCB" w:rsidR="00DB1B4F" w:rsidRDefault="00DB1B4F" w:rsidP="00D30671">
            <w:pPr>
              <w:rPr>
                <w:rFonts w:cstheme="minorHAnsi"/>
                <w:lang w:val="en-US"/>
              </w:rPr>
            </w:pPr>
            <w:r>
              <w:rPr>
                <w:rFonts w:cstheme="minorHAnsi"/>
                <w:lang w:val="en-US"/>
              </w:rPr>
              <w:t xml:space="preserve">Boreholes 111-23 and 112-23 were dry upon completion, dry 4.60m down. As such, there are no concerns about groundwater at </w:t>
            </w:r>
            <w:r w:rsidR="00D95D14">
              <w:rPr>
                <w:rFonts w:cstheme="minorHAnsi"/>
                <w:lang w:val="en-US"/>
              </w:rPr>
              <w:t xml:space="preserve">the infiltration gallery in the </w:t>
            </w:r>
            <w:proofErr w:type="gramStart"/>
            <w:r w:rsidR="00D95D14">
              <w:rPr>
                <w:rFonts w:cstheme="minorHAnsi"/>
                <w:lang w:val="en-US"/>
              </w:rPr>
              <w:t>Western proposed</w:t>
            </w:r>
            <w:proofErr w:type="gramEnd"/>
            <w:r w:rsidR="00D95D14">
              <w:rPr>
                <w:rFonts w:cstheme="minorHAnsi"/>
                <w:lang w:val="en-US"/>
              </w:rPr>
              <w:t xml:space="preserve"> SWM pond. </w:t>
            </w:r>
            <w:r>
              <w:rPr>
                <w:rFonts w:cstheme="minorHAnsi"/>
                <w:lang w:val="en-US"/>
              </w:rPr>
              <w:t xml:space="preserve"> </w:t>
            </w:r>
          </w:p>
          <w:p w14:paraId="4F00E0C5" w14:textId="77777777" w:rsidR="00DB1B4F" w:rsidRDefault="00DB1B4F" w:rsidP="00D30671">
            <w:pPr>
              <w:rPr>
                <w:rFonts w:cstheme="minorHAnsi"/>
                <w:lang w:val="en-US"/>
              </w:rPr>
            </w:pPr>
          </w:p>
          <w:p w14:paraId="3B5D2BD0" w14:textId="61B4DCD9" w:rsidR="00DB1B4F" w:rsidRDefault="00DB1B4F" w:rsidP="00D30671">
            <w:pPr>
              <w:rPr>
                <w:rFonts w:cstheme="minorHAnsi"/>
                <w:lang w:val="en-US"/>
              </w:rPr>
            </w:pPr>
            <w:r>
              <w:rPr>
                <w:rFonts w:cstheme="minorHAnsi"/>
                <w:lang w:val="en-US"/>
              </w:rPr>
              <w:t xml:space="preserve">Borehole 108.23 was reviewed to confirm groundwater levels at Infiltration Gallery C. Borehole 108-23 was found to be dry upon completion up to a depth of 4.72m. </w:t>
            </w:r>
            <w:r w:rsidR="00051250">
              <w:rPr>
                <w:rFonts w:cstheme="minorHAnsi"/>
                <w:lang w:val="en-US"/>
              </w:rPr>
              <w:t xml:space="preserve">As such, there are no concerns about groundwater at </w:t>
            </w:r>
            <w:r w:rsidR="00D95D14">
              <w:rPr>
                <w:rFonts w:cstheme="minorHAnsi"/>
                <w:lang w:val="en-US"/>
              </w:rPr>
              <w:t xml:space="preserve">the infiltration gallery in the Eastern proposed SWM pond.  </w:t>
            </w:r>
          </w:p>
          <w:p w14:paraId="19418BCE" w14:textId="77777777" w:rsidR="00D95D14" w:rsidRDefault="00D95D14" w:rsidP="00D30671">
            <w:pPr>
              <w:rPr>
                <w:rFonts w:cstheme="minorHAnsi"/>
                <w:lang w:val="en-US"/>
              </w:rPr>
            </w:pPr>
          </w:p>
          <w:p w14:paraId="6E29933B" w14:textId="0AD26611" w:rsidR="00DB1B4F" w:rsidRPr="00F752AE" w:rsidRDefault="00DB1B4F" w:rsidP="00D30671">
            <w:pPr>
              <w:rPr>
                <w:rFonts w:cstheme="minorHAnsi"/>
                <w:lang w:val="en-US"/>
              </w:rPr>
            </w:pPr>
            <w:r>
              <w:rPr>
                <w:rFonts w:cstheme="minorHAnsi"/>
                <w:lang w:val="en-US"/>
              </w:rPr>
              <w:t xml:space="preserve">Borehole 107-23 was reviewed to confirm groundwater levels at Infiltration </w:t>
            </w:r>
            <w:r>
              <w:rPr>
                <w:rFonts w:cstheme="minorHAnsi"/>
                <w:lang w:val="en-US"/>
              </w:rPr>
              <w:lastRenderedPageBreak/>
              <w:t xml:space="preserve">Gallery D. </w:t>
            </w:r>
            <w:r w:rsidR="00051250">
              <w:rPr>
                <w:rFonts w:cstheme="minorHAnsi"/>
                <w:lang w:val="en-US"/>
              </w:rPr>
              <w:t xml:space="preserve">Borehole 107-23 was found to be dry upon completion up to a depth of 4.80m. As such, there are no concerns about groundwater at Infiltration Gallery D. </w:t>
            </w:r>
          </w:p>
        </w:tc>
      </w:tr>
      <w:tr w:rsidR="0003595F" w:rsidRPr="00F752AE" w14:paraId="5A31943F" w14:textId="77777777" w:rsidTr="00D30671">
        <w:tc>
          <w:tcPr>
            <w:tcW w:w="555" w:type="dxa"/>
            <w:shd w:val="clear" w:color="auto" w:fill="E5ECEF"/>
            <w:vAlign w:val="center"/>
          </w:tcPr>
          <w:p w14:paraId="46255DC5" w14:textId="6403B112" w:rsidR="0003595F" w:rsidRDefault="0003595F" w:rsidP="00D30671">
            <w:pPr>
              <w:rPr>
                <w:rFonts w:cstheme="minorHAnsi"/>
                <w:lang w:val="en-US"/>
              </w:rPr>
            </w:pPr>
            <w:r>
              <w:rPr>
                <w:rFonts w:cstheme="minorHAnsi"/>
                <w:lang w:val="en-US"/>
              </w:rPr>
              <w:lastRenderedPageBreak/>
              <w:t>13</w:t>
            </w:r>
          </w:p>
        </w:tc>
        <w:tc>
          <w:tcPr>
            <w:tcW w:w="8800" w:type="dxa"/>
            <w:shd w:val="clear" w:color="auto" w:fill="E5ECEF"/>
            <w:vAlign w:val="center"/>
          </w:tcPr>
          <w:p w14:paraId="228B33B9" w14:textId="6A9E8E40" w:rsidR="0003595F" w:rsidRPr="0003595F" w:rsidRDefault="0003595F" w:rsidP="0003595F">
            <w:pPr>
              <w:rPr>
                <w:rFonts w:cstheme="minorHAnsi"/>
              </w:rPr>
            </w:pPr>
            <w:r w:rsidRPr="0003595F">
              <w:rPr>
                <w:rFonts w:cstheme="minorHAnsi"/>
              </w:rPr>
              <w:t xml:space="preserve">Please provide information about the type of soil and percolation rate at the infiltration trench locations and confirm that the drawdown period will satisfy the design criteria. </w:t>
            </w:r>
          </w:p>
        </w:tc>
        <w:tc>
          <w:tcPr>
            <w:tcW w:w="1208" w:type="dxa"/>
            <w:shd w:val="clear" w:color="auto" w:fill="E5ECEF"/>
          </w:tcPr>
          <w:p w14:paraId="514BFBED" w14:textId="3F1D29AE"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6B0C8405" w14:textId="4549EFA8" w:rsidR="0003595F" w:rsidRPr="00F752AE" w:rsidRDefault="001C34BB" w:rsidP="00D30671">
            <w:pPr>
              <w:rPr>
                <w:rFonts w:cstheme="minorHAnsi"/>
                <w:lang w:val="en-US"/>
              </w:rPr>
            </w:pPr>
            <w:r>
              <w:rPr>
                <w:rFonts w:cstheme="minorHAnsi"/>
                <w:lang w:val="en-US"/>
              </w:rPr>
              <w:t xml:space="preserve">As outlined in Table 2, Particle Size Distribution, of the Hydrogeological Assessment Report prepared by Cambium dated April 19, 2024, the percolation times (T) ranged from 45min/cm to 20min/cm for the soils ranging in depth from as shallow as 0.80mbgs to as deep as 2.9mbgs, with a geometric average of 27.2min/cm. This indicates moderate drainage and infiltration potential for the overburden soils at the site. It will be a condition of approval to have in-situ testing completed at the infiltration gallery locations to confirm the drawdown period will satisfy the design criteria. </w:t>
            </w:r>
          </w:p>
        </w:tc>
      </w:tr>
      <w:tr w:rsidR="0003595F" w:rsidRPr="00F752AE" w14:paraId="41139D97" w14:textId="77777777" w:rsidTr="00D30671">
        <w:tc>
          <w:tcPr>
            <w:tcW w:w="555" w:type="dxa"/>
            <w:shd w:val="clear" w:color="auto" w:fill="E5ECEF"/>
            <w:vAlign w:val="center"/>
          </w:tcPr>
          <w:p w14:paraId="1B3B50AD" w14:textId="0ED147C4" w:rsidR="0003595F" w:rsidRDefault="0003595F" w:rsidP="00D30671">
            <w:pPr>
              <w:rPr>
                <w:rFonts w:cstheme="minorHAnsi"/>
                <w:lang w:val="en-US"/>
              </w:rPr>
            </w:pPr>
            <w:r>
              <w:rPr>
                <w:rFonts w:cstheme="minorHAnsi"/>
                <w:lang w:val="en-US"/>
              </w:rPr>
              <w:t>14</w:t>
            </w:r>
          </w:p>
        </w:tc>
        <w:tc>
          <w:tcPr>
            <w:tcW w:w="8800" w:type="dxa"/>
            <w:shd w:val="clear" w:color="auto" w:fill="E5ECEF"/>
            <w:vAlign w:val="center"/>
          </w:tcPr>
          <w:p w14:paraId="578F3C01" w14:textId="77777777" w:rsidR="0003595F" w:rsidRPr="0003595F" w:rsidRDefault="0003595F" w:rsidP="0003595F">
            <w:pPr>
              <w:rPr>
                <w:rFonts w:cstheme="minorHAnsi"/>
              </w:rPr>
            </w:pPr>
            <w:r w:rsidRPr="0003595F">
              <w:rPr>
                <w:rFonts w:cstheme="minorHAnsi"/>
                <w:b/>
                <w:bCs/>
              </w:rPr>
              <w:t xml:space="preserve">DRAWINGS COMMENTS: </w:t>
            </w:r>
          </w:p>
          <w:p w14:paraId="2CFDC815" w14:textId="77777777" w:rsidR="0003595F" w:rsidRPr="0003595F" w:rsidRDefault="0003595F" w:rsidP="0003595F">
            <w:pPr>
              <w:pStyle w:val="ListParagraph"/>
              <w:numPr>
                <w:ilvl w:val="0"/>
                <w:numId w:val="22"/>
              </w:numPr>
              <w:rPr>
                <w:rFonts w:cstheme="minorHAnsi"/>
              </w:rPr>
            </w:pPr>
            <w:r w:rsidRPr="0003595F">
              <w:rPr>
                <w:rFonts w:cstheme="minorHAnsi"/>
                <w:b/>
                <w:bCs/>
              </w:rPr>
              <w:t>Drawings SD-3 and SD-4, Post-Development Storm Drainage Plan</w:t>
            </w:r>
            <w:r w:rsidRPr="0003595F">
              <w:rPr>
                <w:rFonts w:cstheme="minorHAnsi"/>
              </w:rPr>
              <w:t xml:space="preserve">: Please show all the drainage ditches, direction of flows and outlet at all the lots boundaries. </w:t>
            </w:r>
          </w:p>
          <w:p w14:paraId="4D92C527" w14:textId="4C03FE0E" w:rsidR="0003595F" w:rsidRPr="0003595F" w:rsidRDefault="0003595F" w:rsidP="0003595F">
            <w:pPr>
              <w:pStyle w:val="ListParagraph"/>
              <w:numPr>
                <w:ilvl w:val="0"/>
                <w:numId w:val="22"/>
              </w:numPr>
              <w:rPr>
                <w:rFonts w:cstheme="minorHAnsi"/>
              </w:rPr>
            </w:pPr>
            <w:r w:rsidRPr="0003595F">
              <w:rPr>
                <w:rFonts w:cstheme="minorHAnsi"/>
                <w:b/>
                <w:bCs/>
              </w:rPr>
              <w:t xml:space="preserve">All Drawings: </w:t>
            </w:r>
            <w:r w:rsidRPr="0003595F">
              <w:rPr>
                <w:rFonts w:cstheme="minorHAnsi"/>
              </w:rPr>
              <w:t xml:space="preserve">Please show the proposed development boundary and add this boundary line in addition to the flow line to the legend in all drawings. </w:t>
            </w:r>
          </w:p>
        </w:tc>
        <w:tc>
          <w:tcPr>
            <w:tcW w:w="1208" w:type="dxa"/>
            <w:shd w:val="clear" w:color="auto" w:fill="E5ECEF"/>
          </w:tcPr>
          <w:p w14:paraId="12A24DE0" w14:textId="72A124EE" w:rsidR="0003595F" w:rsidRPr="00F752AE" w:rsidRDefault="006A4896" w:rsidP="00D30671">
            <w:pPr>
              <w:jc w:val="center"/>
              <w:rPr>
                <w:rFonts w:cstheme="minorHAnsi"/>
                <w:lang w:val="en-US"/>
              </w:rPr>
            </w:pPr>
            <w:r>
              <w:rPr>
                <w:rFonts w:cstheme="minorHAnsi"/>
                <w:lang w:val="en-US"/>
              </w:rPr>
              <w:t>Biddle</w:t>
            </w:r>
          </w:p>
        </w:tc>
        <w:tc>
          <w:tcPr>
            <w:tcW w:w="3922" w:type="dxa"/>
            <w:shd w:val="clear" w:color="auto" w:fill="E5ECEF"/>
            <w:vAlign w:val="center"/>
          </w:tcPr>
          <w:p w14:paraId="601D9D56" w14:textId="46744AA0" w:rsidR="0003595F" w:rsidRDefault="00D95D14" w:rsidP="00D30671">
            <w:pPr>
              <w:rPr>
                <w:rFonts w:cstheme="minorHAnsi"/>
                <w:lang w:val="en-US"/>
              </w:rPr>
            </w:pPr>
            <w:r>
              <w:rPr>
                <w:rFonts w:cstheme="minorHAnsi"/>
                <w:lang w:val="en-US"/>
              </w:rPr>
              <w:t xml:space="preserve">Development boundaries are clearly delineated by a bold border. </w:t>
            </w:r>
          </w:p>
          <w:p w14:paraId="3CBAC423" w14:textId="77777777" w:rsidR="00D95D14" w:rsidRDefault="00D95D14" w:rsidP="00D30671">
            <w:pPr>
              <w:rPr>
                <w:rFonts w:cstheme="minorHAnsi"/>
                <w:lang w:val="en-US"/>
              </w:rPr>
            </w:pPr>
          </w:p>
          <w:p w14:paraId="779242A5" w14:textId="576AB99D" w:rsidR="00D95D14" w:rsidRPr="00F752AE" w:rsidRDefault="00D95D14" w:rsidP="00D30671">
            <w:pPr>
              <w:rPr>
                <w:rFonts w:cstheme="minorHAnsi"/>
                <w:lang w:val="en-US"/>
              </w:rPr>
            </w:pPr>
            <w:r>
              <w:rPr>
                <w:rFonts w:cstheme="minorHAnsi"/>
                <w:lang w:val="en-US"/>
              </w:rPr>
              <w:t xml:space="preserve">All drainage directions are illustrated on the site grading plans. </w:t>
            </w:r>
          </w:p>
        </w:tc>
      </w:tr>
    </w:tbl>
    <w:p w14:paraId="09D786C5" w14:textId="77777777" w:rsidR="0003595F" w:rsidRPr="00F752AE" w:rsidRDefault="0003595F">
      <w:pPr>
        <w:rPr>
          <w:rFonts w:cstheme="minorHAnsi"/>
          <w:lang w:val="en-US"/>
        </w:rPr>
      </w:pPr>
    </w:p>
    <w:tbl>
      <w:tblPr>
        <w:tblStyle w:val="TableGrid"/>
        <w:tblW w:w="14485" w:type="dxa"/>
        <w:tblLook w:val="04A0" w:firstRow="1" w:lastRow="0" w:firstColumn="1" w:lastColumn="0" w:noHBand="0" w:noVBand="1"/>
      </w:tblPr>
      <w:tblGrid>
        <w:gridCol w:w="555"/>
        <w:gridCol w:w="8800"/>
        <w:gridCol w:w="1208"/>
        <w:gridCol w:w="3922"/>
      </w:tblGrid>
      <w:tr w:rsidR="00F752AE" w:rsidRPr="00F752AE" w14:paraId="00C91DF9" w14:textId="77777777" w:rsidTr="009E6D92">
        <w:trPr>
          <w:tblHeader/>
        </w:trPr>
        <w:tc>
          <w:tcPr>
            <w:tcW w:w="555" w:type="dxa"/>
            <w:shd w:val="clear" w:color="auto" w:fill="767171" w:themeFill="background2" w:themeFillShade="80"/>
            <w:vAlign w:val="center"/>
          </w:tcPr>
          <w:p w14:paraId="6FF93E48" w14:textId="77777777" w:rsidR="006B6D7A" w:rsidRPr="00F752AE" w:rsidRDefault="006B6D7A" w:rsidP="00E01D3D">
            <w:pPr>
              <w:rPr>
                <w:rFonts w:cstheme="minorHAnsi"/>
                <w:b/>
                <w:bCs/>
                <w:color w:val="FFFFFF" w:themeColor="background1"/>
                <w:lang w:val="en-US"/>
              </w:rPr>
            </w:pPr>
          </w:p>
        </w:tc>
        <w:tc>
          <w:tcPr>
            <w:tcW w:w="8800" w:type="dxa"/>
            <w:shd w:val="clear" w:color="auto" w:fill="767171" w:themeFill="background2" w:themeFillShade="80"/>
            <w:vAlign w:val="center"/>
          </w:tcPr>
          <w:p w14:paraId="47D744BF" w14:textId="77777777" w:rsidR="006B6D7A" w:rsidRPr="00F752AE" w:rsidRDefault="006B6D7A" w:rsidP="00E01D3D">
            <w:pPr>
              <w:jc w:val="center"/>
              <w:rPr>
                <w:rFonts w:cstheme="minorHAnsi"/>
                <w:b/>
                <w:bCs/>
                <w:color w:val="FFFFFF" w:themeColor="background1"/>
                <w:lang w:val="en-US"/>
              </w:rPr>
            </w:pPr>
            <w:r w:rsidRPr="00F752AE">
              <w:rPr>
                <w:rFonts w:cstheme="minorHAnsi"/>
                <w:b/>
                <w:bCs/>
                <w:color w:val="FFFFFF" w:themeColor="background1"/>
                <w:lang w:val="en-US"/>
              </w:rPr>
              <w:t>Comment</w:t>
            </w:r>
          </w:p>
        </w:tc>
        <w:tc>
          <w:tcPr>
            <w:tcW w:w="1208" w:type="dxa"/>
            <w:shd w:val="clear" w:color="auto" w:fill="767171" w:themeFill="background2" w:themeFillShade="80"/>
            <w:vAlign w:val="center"/>
          </w:tcPr>
          <w:p w14:paraId="28751F24" w14:textId="715F74E5" w:rsidR="006B6D7A" w:rsidRPr="00F752AE" w:rsidRDefault="006B6D7A" w:rsidP="009E6D92">
            <w:pPr>
              <w:jc w:val="center"/>
              <w:rPr>
                <w:rFonts w:cstheme="minorHAnsi"/>
                <w:b/>
                <w:bCs/>
                <w:color w:val="FFFFFF" w:themeColor="background1"/>
                <w:lang w:val="en-US"/>
              </w:rPr>
            </w:pPr>
            <w:r w:rsidRPr="00F752AE">
              <w:rPr>
                <w:rFonts w:cstheme="minorHAnsi"/>
                <w:b/>
                <w:bCs/>
                <w:color w:val="FFFFFF" w:themeColor="background1"/>
                <w:lang w:val="en-US"/>
              </w:rPr>
              <w:t>Consultant</w:t>
            </w:r>
          </w:p>
        </w:tc>
        <w:tc>
          <w:tcPr>
            <w:tcW w:w="3922" w:type="dxa"/>
            <w:shd w:val="clear" w:color="auto" w:fill="767171" w:themeFill="background2" w:themeFillShade="80"/>
            <w:vAlign w:val="center"/>
          </w:tcPr>
          <w:p w14:paraId="3038740F" w14:textId="77777777" w:rsidR="006B6D7A" w:rsidRPr="00F752AE" w:rsidRDefault="006B6D7A" w:rsidP="00E01D3D">
            <w:pPr>
              <w:jc w:val="center"/>
              <w:rPr>
                <w:rFonts w:cstheme="minorHAnsi"/>
                <w:b/>
                <w:bCs/>
                <w:color w:val="FFFFFF" w:themeColor="background1"/>
                <w:lang w:val="en-US"/>
              </w:rPr>
            </w:pPr>
            <w:r w:rsidRPr="00F752AE">
              <w:rPr>
                <w:rFonts w:cstheme="minorHAnsi"/>
                <w:b/>
                <w:bCs/>
                <w:color w:val="FFFFFF" w:themeColor="background1"/>
                <w:lang w:val="en-US"/>
              </w:rPr>
              <w:t>Response</w:t>
            </w:r>
          </w:p>
        </w:tc>
      </w:tr>
      <w:tr w:rsidR="00F752AE" w:rsidRPr="00F752AE" w14:paraId="041414E5" w14:textId="77777777" w:rsidTr="009E6D92">
        <w:trPr>
          <w:tblHeader/>
        </w:trPr>
        <w:tc>
          <w:tcPr>
            <w:tcW w:w="555" w:type="dxa"/>
            <w:shd w:val="clear" w:color="auto" w:fill="8EAADB" w:themeFill="accent1" w:themeFillTint="99"/>
            <w:vAlign w:val="center"/>
          </w:tcPr>
          <w:p w14:paraId="3E8F879D" w14:textId="77777777" w:rsidR="006B6D7A" w:rsidRPr="00F752AE" w:rsidRDefault="006B6D7A" w:rsidP="00E01D3D">
            <w:pPr>
              <w:jc w:val="center"/>
              <w:rPr>
                <w:rFonts w:cstheme="minorHAnsi"/>
                <w:lang w:val="en-US"/>
              </w:rPr>
            </w:pPr>
            <w:r w:rsidRPr="00F752AE">
              <w:rPr>
                <w:rFonts w:cstheme="minorHAnsi"/>
                <w:lang w:val="en-US"/>
              </w:rPr>
              <w:t>#</w:t>
            </w:r>
          </w:p>
        </w:tc>
        <w:tc>
          <w:tcPr>
            <w:tcW w:w="8800" w:type="dxa"/>
            <w:shd w:val="clear" w:color="auto" w:fill="8EAADB" w:themeFill="accent1" w:themeFillTint="99"/>
            <w:vAlign w:val="center"/>
          </w:tcPr>
          <w:p w14:paraId="2B6054C1" w14:textId="5A49813E" w:rsidR="006B6D7A" w:rsidRPr="00AB57D2" w:rsidRDefault="00AB57D2" w:rsidP="00E01D3D">
            <w:pPr>
              <w:rPr>
                <w:rFonts w:cstheme="minorHAnsi"/>
                <w:b/>
                <w:bCs/>
              </w:rPr>
            </w:pPr>
            <w:r w:rsidRPr="00AB57D2">
              <w:rPr>
                <w:rFonts w:cstheme="minorHAnsi"/>
                <w:b/>
                <w:bCs/>
              </w:rPr>
              <w:t xml:space="preserve">2024-05-03 RPT </w:t>
            </w:r>
            <w:proofErr w:type="spellStart"/>
            <w:r w:rsidRPr="00AB57D2">
              <w:rPr>
                <w:rFonts w:cstheme="minorHAnsi"/>
                <w:b/>
                <w:bCs/>
              </w:rPr>
              <w:t>HydroG</w:t>
            </w:r>
            <w:proofErr w:type="spellEnd"/>
            <w:r w:rsidRPr="00AB57D2">
              <w:rPr>
                <w:rFonts w:cstheme="minorHAnsi"/>
                <w:b/>
                <w:bCs/>
              </w:rPr>
              <w:t xml:space="preserve"> – Bobcaygeon Development, Cambium </w:t>
            </w:r>
          </w:p>
        </w:tc>
        <w:tc>
          <w:tcPr>
            <w:tcW w:w="5130" w:type="dxa"/>
            <w:gridSpan w:val="2"/>
            <w:shd w:val="clear" w:color="auto" w:fill="8EAADB" w:themeFill="accent1" w:themeFillTint="99"/>
            <w:vAlign w:val="center"/>
          </w:tcPr>
          <w:p w14:paraId="29A04216" w14:textId="708117A2" w:rsidR="006B6D7A" w:rsidRPr="00F752AE" w:rsidRDefault="006B6D7A" w:rsidP="009E6D92">
            <w:pPr>
              <w:rPr>
                <w:rFonts w:cstheme="minorHAnsi"/>
                <w:b/>
                <w:bCs/>
                <w:lang w:val="en-US"/>
              </w:rPr>
            </w:pPr>
            <w:r w:rsidRPr="00F752AE">
              <w:rPr>
                <w:rFonts w:cstheme="minorHAnsi"/>
                <w:b/>
                <w:bCs/>
                <w:lang w:val="en-US"/>
              </w:rPr>
              <w:t>Commenter</w:t>
            </w:r>
            <w:proofErr w:type="gramStart"/>
            <w:r w:rsidRPr="00F752AE">
              <w:rPr>
                <w:rFonts w:cstheme="minorHAnsi"/>
                <w:b/>
                <w:bCs/>
                <w:lang w:val="en-US"/>
              </w:rPr>
              <w:t>:  Stantec</w:t>
            </w:r>
            <w:proofErr w:type="gramEnd"/>
            <w:r w:rsidRPr="00F752AE">
              <w:rPr>
                <w:rFonts w:cstheme="minorHAnsi"/>
                <w:b/>
                <w:bCs/>
                <w:lang w:val="en-US"/>
              </w:rPr>
              <w:t xml:space="preserve"> Consulting Ltd. (Peer Review on behalf of the County of Peterborough)</w:t>
            </w:r>
          </w:p>
        </w:tc>
      </w:tr>
      <w:tr w:rsidR="00980BF9" w:rsidRPr="00F752AE" w14:paraId="7F7D7D5D" w14:textId="77777777" w:rsidTr="009E6D92">
        <w:tc>
          <w:tcPr>
            <w:tcW w:w="555" w:type="dxa"/>
            <w:shd w:val="clear" w:color="auto" w:fill="D9E2F3" w:themeFill="accent1" w:themeFillTint="33"/>
            <w:vAlign w:val="center"/>
          </w:tcPr>
          <w:p w14:paraId="117252EF" w14:textId="77777777" w:rsidR="00980BF9" w:rsidRPr="00F752AE" w:rsidRDefault="00980BF9" w:rsidP="00980BF9">
            <w:pPr>
              <w:rPr>
                <w:rFonts w:cstheme="minorHAnsi"/>
                <w:lang w:val="en-US"/>
              </w:rPr>
            </w:pPr>
            <w:r w:rsidRPr="00F752AE">
              <w:rPr>
                <w:rFonts w:cstheme="minorHAnsi"/>
                <w:lang w:val="en-US"/>
              </w:rPr>
              <w:t>1</w:t>
            </w:r>
          </w:p>
        </w:tc>
        <w:tc>
          <w:tcPr>
            <w:tcW w:w="8800" w:type="dxa"/>
            <w:shd w:val="clear" w:color="auto" w:fill="D9E2F3" w:themeFill="accent1" w:themeFillTint="33"/>
            <w:vAlign w:val="center"/>
          </w:tcPr>
          <w:p w14:paraId="165762D5" w14:textId="77777777" w:rsidR="00980BF9" w:rsidRDefault="00980BF9" w:rsidP="00980BF9">
            <w:pPr>
              <w:rPr>
                <w:rFonts w:cstheme="minorHAnsi"/>
                <w:lang w:val="en-US"/>
              </w:rPr>
            </w:pPr>
            <w:r w:rsidRPr="0086726A">
              <w:rPr>
                <w:rFonts w:cstheme="minorHAnsi"/>
                <w:lang w:val="en-US"/>
              </w:rPr>
              <w:t xml:space="preserve">The high groundwater table and shallow groundwater flow direction needs to be defined using a shallow groundwater monitoring well network to assist with: </w:t>
            </w:r>
          </w:p>
          <w:p w14:paraId="5071043F" w14:textId="77777777" w:rsidR="00980BF9" w:rsidRPr="0086726A" w:rsidRDefault="00980BF9" w:rsidP="00980BF9">
            <w:pPr>
              <w:rPr>
                <w:rFonts w:cstheme="minorHAnsi"/>
                <w:lang w:val="en-US"/>
              </w:rPr>
            </w:pPr>
          </w:p>
          <w:p w14:paraId="5E6B1A7C" w14:textId="77777777" w:rsidR="00980BF9" w:rsidRPr="00980BF9" w:rsidRDefault="00980BF9" w:rsidP="00980BF9">
            <w:pPr>
              <w:pStyle w:val="ListParagraph"/>
              <w:numPr>
                <w:ilvl w:val="0"/>
                <w:numId w:val="24"/>
              </w:numPr>
              <w:rPr>
                <w:rFonts w:cstheme="minorHAnsi"/>
                <w:lang w:val="en-US"/>
              </w:rPr>
            </w:pPr>
            <w:r w:rsidRPr="00980BF9">
              <w:rPr>
                <w:rFonts w:cstheme="minorHAnsi"/>
                <w:lang w:val="en-US"/>
              </w:rPr>
              <w:t>Setting basement elevations</w:t>
            </w:r>
          </w:p>
          <w:p w14:paraId="3CFD3632" w14:textId="77777777" w:rsidR="00980BF9" w:rsidRDefault="00980BF9" w:rsidP="00980BF9">
            <w:pPr>
              <w:rPr>
                <w:rFonts w:cstheme="minorHAnsi"/>
                <w:lang w:val="en-US"/>
              </w:rPr>
            </w:pPr>
          </w:p>
          <w:p w14:paraId="5914E119" w14:textId="77777777" w:rsidR="00980BF9" w:rsidRPr="0086726A" w:rsidRDefault="00980BF9" w:rsidP="00980BF9">
            <w:pPr>
              <w:pStyle w:val="ListParagraph"/>
              <w:numPr>
                <w:ilvl w:val="0"/>
                <w:numId w:val="23"/>
              </w:numPr>
              <w:rPr>
                <w:rFonts w:cstheme="minorHAnsi"/>
                <w:lang w:val="en-US"/>
              </w:rPr>
            </w:pPr>
            <w:r w:rsidRPr="0086726A">
              <w:rPr>
                <w:rFonts w:cstheme="minorHAnsi"/>
                <w:lang w:val="en-US"/>
              </w:rPr>
              <w:t xml:space="preserve">Assessing the suitability of various infiltration deficit mitigation measures </w:t>
            </w:r>
          </w:p>
          <w:p w14:paraId="110C5A1F" w14:textId="77777777" w:rsidR="00980BF9" w:rsidRPr="0086726A" w:rsidRDefault="00980BF9" w:rsidP="00980BF9">
            <w:pPr>
              <w:numPr>
                <w:ilvl w:val="0"/>
                <w:numId w:val="23"/>
              </w:numPr>
              <w:autoSpaceDE w:val="0"/>
              <w:autoSpaceDN w:val="0"/>
              <w:adjustRightInd w:val="0"/>
              <w:spacing w:after="140"/>
              <w:rPr>
                <w:rFonts w:cstheme="minorHAnsi"/>
                <w:color w:val="000000"/>
                <w:lang w:val="en-US"/>
              </w:rPr>
            </w:pPr>
            <w:r w:rsidRPr="0086726A">
              <w:rPr>
                <w:rFonts w:cstheme="minorHAnsi"/>
                <w:color w:val="000000"/>
                <w:lang w:val="en-US"/>
              </w:rPr>
              <w:t xml:space="preserve">The placement of supply wells and sewage system envelopes on each lot (i.e., what direction(s) is groundwater flowing to assist with the placement of this infrastructure) </w:t>
            </w:r>
          </w:p>
          <w:p w14:paraId="21EA092B" w14:textId="77777777" w:rsidR="00980BF9" w:rsidRPr="0086726A" w:rsidRDefault="00980BF9" w:rsidP="00980BF9">
            <w:pPr>
              <w:numPr>
                <w:ilvl w:val="0"/>
                <w:numId w:val="23"/>
              </w:numPr>
              <w:autoSpaceDE w:val="0"/>
              <w:autoSpaceDN w:val="0"/>
              <w:adjustRightInd w:val="0"/>
              <w:spacing w:after="140"/>
              <w:rPr>
                <w:rFonts w:cstheme="minorHAnsi"/>
                <w:color w:val="000000"/>
                <w:lang w:val="en-US"/>
              </w:rPr>
            </w:pPr>
            <w:r w:rsidRPr="0086726A">
              <w:rPr>
                <w:rFonts w:cstheme="minorHAnsi"/>
                <w:color w:val="000000"/>
                <w:lang w:val="en-US"/>
              </w:rPr>
              <w:t xml:space="preserve">Assessing the relationship between the shallow groundwater table and the wetland (i.e., does the wetland depend on shallow groundwater inputs to maintain its form and function) </w:t>
            </w:r>
          </w:p>
          <w:p w14:paraId="2A6E690D" w14:textId="77777777" w:rsidR="00980BF9" w:rsidRPr="0086726A" w:rsidRDefault="00980BF9" w:rsidP="00980BF9">
            <w:pPr>
              <w:numPr>
                <w:ilvl w:val="0"/>
                <w:numId w:val="23"/>
              </w:numPr>
              <w:autoSpaceDE w:val="0"/>
              <w:autoSpaceDN w:val="0"/>
              <w:adjustRightInd w:val="0"/>
              <w:spacing w:after="140"/>
              <w:rPr>
                <w:rFonts w:cstheme="minorHAnsi"/>
                <w:color w:val="000000"/>
                <w:lang w:val="en-US"/>
              </w:rPr>
            </w:pPr>
            <w:r w:rsidRPr="0086726A">
              <w:rPr>
                <w:rFonts w:cstheme="minorHAnsi"/>
                <w:color w:val="000000"/>
                <w:lang w:val="en-US"/>
              </w:rPr>
              <w:t xml:space="preserve">Septic system design (i.e., will </w:t>
            </w:r>
            <w:proofErr w:type="gramStart"/>
            <w:r w:rsidRPr="0086726A">
              <w:rPr>
                <w:rFonts w:cstheme="minorHAnsi"/>
                <w:color w:val="000000"/>
                <w:lang w:val="en-US"/>
              </w:rPr>
              <w:t>raised</w:t>
            </w:r>
            <w:proofErr w:type="gramEnd"/>
            <w:r w:rsidRPr="0086726A">
              <w:rPr>
                <w:rFonts w:cstheme="minorHAnsi"/>
                <w:color w:val="000000"/>
                <w:lang w:val="en-US"/>
              </w:rPr>
              <w:t xml:space="preserve"> beds be required because of a shallow groundwater table or low permeability soils) </w:t>
            </w:r>
          </w:p>
          <w:p w14:paraId="68C0D490" w14:textId="77777777" w:rsidR="00980BF9" w:rsidRPr="0086726A" w:rsidRDefault="00980BF9" w:rsidP="00980BF9">
            <w:pPr>
              <w:numPr>
                <w:ilvl w:val="0"/>
                <w:numId w:val="23"/>
              </w:numPr>
              <w:autoSpaceDE w:val="0"/>
              <w:autoSpaceDN w:val="0"/>
              <w:adjustRightInd w:val="0"/>
              <w:rPr>
                <w:rFonts w:cstheme="minorHAnsi"/>
                <w:color w:val="000000"/>
                <w:lang w:val="en-US"/>
              </w:rPr>
            </w:pPr>
            <w:r w:rsidRPr="0086726A">
              <w:rPr>
                <w:rFonts w:cstheme="minorHAnsi"/>
                <w:color w:val="000000"/>
                <w:lang w:val="en-US"/>
              </w:rPr>
              <w:t xml:space="preserve">Assessing the need for construction dewatering. </w:t>
            </w:r>
          </w:p>
          <w:p w14:paraId="48A78509" w14:textId="77777777" w:rsidR="00980BF9" w:rsidRPr="0086726A" w:rsidRDefault="00980BF9" w:rsidP="00980BF9">
            <w:pPr>
              <w:autoSpaceDE w:val="0"/>
              <w:autoSpaceDN w:val="0"/>
              <w:adjustRightInd w:val="0"/>
              <w:ind w:left="720"/>
              <w:rPr>
                <w:rFonts w:cstheme="minorHAnsi"/>
                <w:color w:val="000000"/>
                <w:lang w:val="en-US"/>
              </w:rPr>
            </w:pPr>
          </w:p>
          <w:p w14:paraId="5DA77340" w14:textId="77777777" w:rsidR="00980BF9" w:rsidRPr="0086726A" w:rsidRDefault="00980BF9" w:rsidP="00980BF9">
            <w:pPr>
              <w:autoSpaceDE w:val="0"/>
              <w:autoSpaceDN w:val="0"/>
              <w:adjustRightInd w:val="0"/>
              <w:rPr>
                <w:rFonts w:cstheme="minorHAnsi"/>
                <w:color w:val="000000"/>
                <w:lang w:val="en-US"/>
              </w:rPr>
            </w:pPr>
            <w:r w:rsidRPr="0086726A">
              <w:rPr>
                <w:rFonts w:cstheme="minorHAnsi"/>
                <w:color w:val="000000"/>
                <w:lang w:val="en-US"/>
              </w:rPr>
              <w:t xml:space="preserve">In response to this comment, Cambium advanced 14 additional boreholes and installed four monitoring wells. Groundwater level measurements were collected in November 2023, with a </w:t>
            </w:r>
            <w:r w:rsidRPr="0086726A">
              <w:rPr>
                <w:rFonts w:cstheme="minorHAnsi"/>
                <w:color w:val="000000"/>
                <w:lang w:val="en-US"/>
              </w:rPr>
              <w:lastRenderedPageBreak/>
              <w:t xml:space="preserve">commitment from Cambium that spring water level monitoring would be completed between March and June 2024 to obtain high groundwater levels. </w:t>
            </w:r>
          </w:p>
          <w:p w14:paraId="7BFD34F0" w14:textId="77777777" w:rsidR="00980BF9" w:rsidRPr="0086726A" w:rsidRDefault="00980BF9" w:rsidP="00980BF9">
            <w:pPr>
              <w:autoSpaceDE w:val="0"/>
              <w:autoSpaceDN w:val="0"/>
              <w:adjustRightInd w:val="0"/>
              <w:rPr>
                <w:rFonts w:cstheme="minorHAnsi"/>
                <w:b/>
                <w:bCs/>
                <w:color w:val="000000"/>
                <w:lang w:val="en-US"/>
              </w:rPr>
            </w:pPr>
          </w:p>
          <w:p w14:paraId="3BE4E176" w14:textId="77777777" w:rsidR="00980BF9" w:rsidRPr="0086726A" w:rsidRDefault="00980BF9" w:rsidP="00980BF9">
            <w:pPr>
              <w:autoSpaceDE w:val="0"/>
              <w:autoSpaceDN w:val="0"/>
              <w:adjustRightInd w:val="0"/>
              <w:rPr>
                <w:rFonts w:cstheme="minorHAnsi"/>
                <w:color w:val="000000"/>
                <w:lang w:val="en-US"/>
              </w:rPr>
            </w:pPr>
            <w:r w:rsidRPr="0086726A">
              <w:rPr>
                <w:rFonts w:cstheme="minorHAnsi"/>
                <w:b/>
                <w:bCs/>
                <w:color w:val="000000"/>
                <w:lang w:val="en-US"/>
              </w:rPr>
              <w:t xml:space="preserve">Stantec’s Response </w:t>
            </w:r>
          </w:p>
          <w:p w14:paraId="56AA3286" w14:textId="77777777" w:rsidR="00980BF9" w:rsidRPr="0086726A" w:rsidRDefault="00980BF9" w:rsidP="00980BF9">
            <w:pPr>
              <w:autoSpaceDE w:val="0"/>
              <w:autoSpaceDN w:val="0"/>
              <w:adjustRightInd w:val="0"/>
              <w:rPr>
                <w:rFonts w:cstheme="minorHAnsi"/>
                <w:color w:val="000000"/>
                <w:lang w:val="en-US"/>
              </w:rPr>
            </w:pPr>
            <w:r w:rsidRPr="0086726A">
              <w:rPr>
                <w:rFonts w:cstheme="minorHAnsi"/>
                <w:color w:val="000000"/>
                <w:lang w:val="en-US"/>
              </w:rPr>
              <w:t xml:space="preserve">The borehole investigation indicated that overburden conditions were found to be mostly dry </w:t>
            </w:r>
            <w:proofErr w:type="gramStart"/>
            <w:r w:rsidRPr="0086726A">
              <w:rPr>
                <w:rFonts w:cstheme="minorHAnsi"/>
                <w:color w:val="000000"/>
                <w:lang w:val="en-US"/>
              </w:rPr>
              <w:t>with the exception of</w:t>
            </w:r>
            <w:proofErr w:type="gramEnd"/>
            <w:r w:rsidRPr="0086726A">
              <w:rPr>
                <w:rFonts w:cstheme="minorHAnsi"/>
                <w:color w:val="000000"/>
                <w:lang w:val="en-US"/>
              </w:rPr>
              <w:t xml:space="preserve"> the west end of the Site fronting on County Road 49. It would have been preferred to see additional monitoring wells installed, particularly in the central area of the property around the wetland and in areas where LIDs are proposed. </w:t>
            </w:r>
          </w:p>
          <w:p w14:paraId="5A612388" w14:textId="77777777" w:rsidR="00980BF9" w:rsidRPr="0086726A" w:rsidRDefault="00980BF9" w:rsidP="00980BF9">
            <w:pPr>
              <w:pStyle w:val="ListParagraph"/>
              <w:numPr>
                <w:ilvl w:val="0"/>
                <w:numId w:val="23"/>
              </w:numPr>
              <w:rPr>
                <w:rFonts w:cstheme="minorHAnsi"/>
                <w:lang w:val="en-US"/>
              </w:rPr>
            </w:pPr>
            <w:r w:rsidRPr="0086726A">
              <w:rPr>
                <w:rFonts w:cstheme="minorHAnsi"/>
                <w:color w:val="000000"/>
                <w:lang w:val="en-US"/>
              </w:rPr>
              <w:t xml:space="preserve">Only one spot level measurement of groundwater levels was collected in November 2023; however, Cambium committed to collecting more data between March and June 2024 to assess high groundwater table conditions. It is noted that there seems to be a mistake </w:t>
            </w:r>
            <w:proofErr w:type="gramStart"/>
            <w:r w:rsidRPr="0086726A">
              <w:rPr>
                <w:rFonts w:cstheme="minorHAnsi"/>
                <w:color w:val="000000"/>
                <w:lang w:val="en-US"/>
              </w:rPr>
              <w:t>for</w:t>
            </w:r>
            <w:proofErr w:type="gramEnd"/>
            <w:r w:rsidRPr="0086726A">
              <w:rPr>
                <w:rFonts w:cstheme="minorHAnsi"/>
                <w:color w:val="000000"/>
                <w:lang w:val="en-US"/>
              </w:rPr>
              <w:t xml:space="preserve"> the information presented in Figure 4 for BH113-23. The water level elevation shown is situated 13.3 m below the screen elevation. Please correct the information for BH113-23 on Figure 4 and </w:t>
            </w:r>
            <w:proofErr w:type="gramStart"/>
            <w:r w:rsidRPr="0086726A">
              <w:rPr>
                <w:rFonts w:cstheme="minorHAnsi"/>
                <w:color w:val="000000"/>
                <w:lang w:val="en-US"/>
              </w:rPr>
              <w:t>reassess</w:t>
            </w:r>
            <w:proofErr w:type="gramEnd"/>
            <w:r w:rsidRPr="0086726A">
              <w:rPr>
                <w:rFonts w:cstheme="minorHAnsi"/>
                <w:color w:val="000000"/>
                <w:lang w:val="en-US"/>
              </w:rPr>
              <w:t xml:space="preserve"> the groundwater flow direction, as needed.</w:t>
            </w:r>
          </w:p>
          <w:p w14:paraId="7A798527" w14:textId="317730DF" w:rsidR="00980BF9" w:rsidRPr="00F752AE" w:rsidRDefault="00980BF9" w:rsidP="00980BF9">
            <w:pPr>
              <w:rPr>
                <w:rFonts w:cstheme="minorHAnsi"/>
                <w:lang w:val="en-US"/>
              </w:rPr>
            </w:pPr>
          </w:p>
        </w:tc>
        <w:tc>
          <w:tcPr>
            <w:tcW w:w="1208" w:type="dxa"/>
            <w:shd w:val="clear" w:color="auto" w:fill="D9E2F3" w:themeFill="accent1" w:themeFillTint="33"/>
            <w:vAlign w:val="center"/>
          </w:tcPr>
          <w:p w14:paraId="22F62AB9" w14:textId="7F98F7AB" w:rsidR="00980BF9" w:rsidRPr="00F752AE" w:rsidRDefault="00980BF9" w:rsidP="00980BF9">
            <w:pPr>
              <w:jc w:val="center"/>
              <w:rPr>
                <w:rFonts w:cstheme="minorHAnsi"/>
                <w:lang w:val="en-US"/>
              </w:rPr>
            </w:pPr>
            <w:r>
              <w:rPr>
                <w:rFonts w:cstheme="minorHAnsi"/>
                <w:lang w:val="en-US"/>
              </w:rPr>
              <w:lastRenderedPageBreak/>
              <w:t xml:space="preserve">Cambium </w:t>
            </w:r>
          </w:p>
        </w:tc>
        <w:tc>
          <w:tcPr>
            <w:tcW w:w="3922" w:type="dxa"/>
            <w:shd w:val="clear" w:color="auto" w:fill="D9E2F3" w:themeFill="accent1" w:themeFillTint="33"/>
            <w:vAlign w:val="center"/>
          </w:tcPr>
          <w:p w14:paraId="47072660" w14:textId="77777777" w:rsidR="00980BF9" w:rsidRDefault="00980BF9" w:rsidP="00980BF9">
            <w:pPr>
              <w:rPr>
                <w:rFonts w:cstheme="minorHAnsi"/>
                <w:lang w:val="en-US"/>
              </w:rPr>
            </w:pPr>
            <w:r>
              <w:rPr>
                <w:rFonts w:cstheme="minorHAnsi"/>
                <w:lang w:val="en-US"/>
              </w:rPr>
              <w:t>Water supply wells and septic system assessment will be completed at detailed Site plan approval stage.</w:t>
            </w:r>
          </w:p>
          <w:p w14:paraId="7857FD73" w14:textId="77777777" w:rsidR="00980BF9" w:rsidRDefault="00980BF9" w:rsidP="00980BF9">
            <w:pPr>
              <w:rPr>
                <w:rFonts w:cstheme="minorHAnsi"/>
                <w:lang w:val="en-US"/>
              </w:rPr>
            </w:pPr>
          </w:p>
          <w:p w14:paraId="62A32E0B" w14:textId="77777777" w:rsidR="00980BF9" w:rsidRDefault="00980BF9" w:rsidP="00980BF9">
            <w:pPr>
              <w:rPr>
                <w:rFonts w:cstheme="minorHAnsi"/>
                <w:lang w:val="en-US"/>
              </w:rPr>
            </w:pPr>
          </w:p>
          <w:p w14:paraId="292A5335" w14:textId="77777777" w:rsidR="00980BF9" w:rsidRDefault="00980BF9" w:rsidP="00980BF9">
            <w:pPr>
              <w:rPr>
                <w:rFonts w:cstheme="minorHAnsi"/>
                <w:lang w:val="en-US"/>
              </w:rPr>
            </w:pPr>
          </w:p>
          <w:p w14:paraId="57C6F1B8" w14:textId="77777777" w:rsidR="00980BF9" w:rsidRDefault="00980BF9" w:rsidP="00980BF9">
            <w:pPr>
              <w:rPr>
                <w:rFonts w:cstheme="minorHAnsi"/>
                <w:lang w:val="en-US"/>
              </w:rPr>
            </w:pPr>
          </w:p>
          <w:p w14:paraId="0633F50B" w14:textId="77777777" w:rsidR="00980BF9" w:rsidRDefault="00980BF9" w:rsidP="00980BF9">
            <w:pPr>
              <w:rPr>
                <w:rFonts w:cstheme="minorHAnsi"/>
                <w:lang w:val="en-US"/>
              </w:rPr>
            </w:pPr>
          </w:p>
          <w:p w14:paraId="124C4844" w14:textId="77777777" w:rsidR="00980BF9" w:rsidRDefault="00980BF9" w:rsidP="00980BF9">
            <w:pPr>
              <w:rPr>
                <w:rFonts w:cstheme="minorHAnsi"/>
                <w:lang w:val="en-US"/>
              </w:rPr>
            </w:pPr>
          </w:p>
          <w:p w14:paraId="137D250F" w14:textId="77777777" w:rsidR="00980BF9" w:rsidRDefault="00980BF9" w:rsidP="00980BF9">
            <w:pPr>
              <w:rPr>
                <w:rFonts w:cstheme="minorHAnsi"/>
                <w:lang w:val="en-US"/>
              </w:rPr>
            </w:pPr>
          </w:p>
          <w:p w14:paraId="43036772" w14:textId="77777777" w:rsidR="00980BF9" w:rsidRDefault="00980BF9" w:rsidP="00980BF9">
            <w:pPr>
              <w:rPr>
                <w:rFonts w:cstheme="minorHAnsi"/>
                <w:lang w:val="en-US"/>
              </w:rPr>
            </w:pPr>
          </w:p>
          <w:p w14:paraId="74A466B0" w14:textId="77777777" w:rsidR="00980BF9" w:rsidRDefault="00980BF9" w:rsidP="00980BF9">
            <w:pPr>
              <w:rPr>
                <w:rFonts w:cstheme="minorHAnsi"/>
                <w:lang w:val="en-US"/>
              </w:rPr>
            </w:pPr>
          </w:p>
          <w:p w14:paraId="62046BD1" w14:textId="77777777" w:rsidR="00980BF9" w:rsidRDefault="00980BF9" w:rsidP="00980BF9">
            <w:pPr>
              <w:rPr>
                <w:rFonts w:cstheme="minorHAnsi"/>
                <w:lang w:val="en-US"/>
              </w:rPr>
            </w:pPr>
          </w:p>
          <w:p w14:paraId="5EA910C2" w14:textId="77777777" w:rsidR="00980BF9" w:rsidRDefault="00980BF9" w:rsidP="00980BF9">
            <w:pPr>
              <w:rPr>
                <w:rFonts w:cstheme="minorHAnsi"/>
                <w:lang w:val="en-US"/>
              </w:rPr>
            </w:pPr>
          </w:p>
          <w:p w14:paraId="16F4C888" w14:textId="77777777" w:rsidR="00980BF9" w:rsidRDefault="00980BF9" w:rsidP="00980BF9">
            <w:pPr>
              <w:rPr>
                <w:rFonts w:cstheme="minorHAnsi"/>
                <w:lang w:val="en-US"/>
              </w:rPr>
            </w:pPr>
          </w:p>
          <w:p w14:paraId="47BDCC04" w14:textId="77777777" w:rsidR="00980BF9" w:rsidRDefault="00980BF9" w:rsidP="00980BF9">
            <w:pPr>
              <w:rPr>
                <w:rFonts w:cstheme="minorHAnsi"/>
                <w:lang w:val="en-US"/>
              </w:rPr>
            </w:pPr>
          </w:p>
          <w:p w14:paraId="5748A1A6" w14:textId="77777777" w:rsidR="00980BF9" w:rsidRDefault="00980BF9" w:rsidP="00980BF9">
            <w:pPr>
              <w:rPr>
                <w:rFonts w:cstheme="minorHAnsi"/>
                <w:lang w:val="en-US"/>
              </w:rPr>
            </w:pPr>
          </w:p>
          <w:p w14:paraId="186E423C" w14:textId="77777777" w:rsidR="00980BF9" w:rsidRDefault="00980BF9" w:rsidP="00980BF9">
            <w:pPr>
              <w:rPr>
                <w:rFonts w:cstheme="minorHAnsi"/>
                <w:lang w:val="en-US"/>
              </w:rPr>
            </w:pPr>
          </w:p>
          <w:p w14:paraId="58EFC4F9" w14:textId="77777777" w:rsidR="00980BF9" w:rsidRDefault="00980BF9" w:rsidP="00980BF9">
            <w:pPr>
              <w:rPr>
                <w:rFonts w:cstheme="minorHAnsi"/>
                <w:lang w:val="en-US"/>
              </w:rPr>
            </w:pPr>
          </w:p>
          <w:p w14:paraId="016461BF" w14:textId="77777777" w:rsidR="00980BF9" w:rsidRDefault="00980BF9" w:rsidP="00980BF9">
            <w:pPr>
              <w:rPr>
                <w:rFonts w:cstheme="minorHAnsi"/>
                <w:lang w:val="en-US"/>
              </w:rPr>
            </w:pPr>
          </w:p>
          <w:p w14:paraId="03069556" w14:textId="77777777" w:rsidR="00980BF9" w:rsidRDefault="00980BF9" w:rsidP="00980BF9">
            <w:pPr>
              <w:rPr>
                <w:rFonts w:cstheme="minorHAnsi"/>
                <w:lang w:val="en-US"/>
              </w:rPr>
            </w:pPr>
          </w:p>
          <w:p w14:paraId="2E9BB985" w14:textId="77777777" w:rsidR="00980BF9" w:rsidRDefault="00980BF9" w:rsidP="00980BF9">
            <w:pPr>
              <w:rPr>
                <w:rFonts w:cstheme="minorHAnsi"/>
                <w:lang w:val="en-US"/>
              </w:rPr>
            </w:pPr>
          </w:p>
          <w:p w14:paraId="2728E7EA" w14:textId="77777777" w:rsidR="00980BF9" w:rsidRDefault="00980BF9" w:rsidP="00980BF9">
            <w:pPr>
              <w:rPr>
                <w:rFonts w:cstheme="minorHAnsi"/>
                <w:lang w:val="en-US"/>
              </w:rPr>
            </w:pPr>
          </w:p>
          <w:p w14:paraId="6755B6DD" w14:textId="77777777" w:rsidR="00980BF9" w:rsidRDefault="00980BF9" w:rsidP="00980BF9">
            <w:pPr>
              <w:rPr>
                <w:rFonts w:cstheme="minorHAnsi"/>
                <w:lang w:val="en-US"/>
              </w:rPr>
            </w:pPr>
          </w:p>
          <w:p w14:paraId="58D1B0EE" w14:textId="5E551CFB" w:rsidR="00980BF9" w:rsidRPr="00F752AE" w:rsidRDefault="00980BF9" w:rsidP="00980BF9">
            <w:pPr>
              <w:rPr>
                <w:rFonts w:cstheme="minorHAnsi"/>
                <w:lang w:val="en-US"/>
              </w:rPr>
            </w:pPr>
            <w:r>
              <w:rPr>
                <w:rFonts w:cstheme="minorHAnsi"/>
                <w:lang w:val="en-US"/>
              </w:rPr>
              <w:t xml:space="preserve">Cambium will complete a long-term water level monitoring at the Site as part of </w:t>
            </w:r>
            <w:proofErr w:type="gramStart"/>
            <w:r>
              <w:rPr>
                <w:rFonts w:cstheme="minorHAnsi"/>
                <w:lang w:val="en-US"/>
              </w:rPr>
              <w:t>feature based</w:t>
            </w:r>
            <w:proofErr w:type="gramEnd"/>
            <w:r>
              <w:rPr>
                <w:rFonts w:cstheme="minorHAnsi"/>
                <w:lang w:val="en-US"/>
              </w:rPr>
              <w:t xml:space="preserve"> water balance assessment to be completed concurrently with the Phase II detailed design and application. This approach was reviewed and agreed upon with KCA in a meeting held on December 2, 2024.</w:t>
            </w:r>
          </w:p>
        </w:tc>
      </w:tr>
      <w:tr w:rsidR="00E24324" w:rsidRPr="00F752AE" w14:paraId="658F719A" w14:textId="77777777" w:rsidTr="009E6D92">
        <w:tc>
          <w:tcPr>
            <w:tcW w:w="555" w:type="dxa"/>
            <w:shd w:val="clear" w:color="auto" w:fill="D9E2F3" w:themeFill="accent1" w:themeFillTint="33"/>
            <w:vAlign w:val="center"/>
          </w:tcPr>
          <w:p w14:paraId="0C3F5000" w14:textId="3DCBE079" w:rsidR="006B6D7A" w:rsidRPr="00F752AE" w:rsidRDefault="00E24324" w:rsidP="00E01D3D">
            <w:pPr>
              <w:rPr>
                <w:rFonts w:cstheme="minorHAnsi"/>
                <w:lang w:val="en-US"/>
              </w:rPr>
            </w:pPr>
            <w:r w:rsidRPr="00F752AE">
              <w:rPr>
                <w:rFonts w:cstheme="minorHAnsi"/>
                <w:lang w:val="en-US"/>
              </w:rPr>
              <w:lastRenderedPageBreak/>
              <w:t>2</w:t>
            </w:r>
          </w:p>
        </w:tc>
        <w:tc>
          <w:tcPr>
            <w:tcW w:w="8800" w:type="dxa"/>
            <w:shd w:val="clear" w:color="auto" w:fill="D9E2F3" w:themeFill="accent1" w:themeFillTint="33"/>
            <w:vAlign w:val="center"/>
          </w:tcPr>
          <w:p w14:paraId="54BE74D9" w14:textId="77777777" w:rsidR="00980BF9" w:rsidRDefault="00980BF9" w:rsidP="00980BF9">
            <w:pPr>
              <w:rPr>
                <w:rFonts w:cstheme="minorHAnsi"/>
                <w:lang w:val="en-US"/>
              </w:rPr>
            </w:pPr>
            <w:r w:rsidRPr="0086726A">
              <w:rPr>
                <w:rFonts w:cstheme="minorHAnsi"/>
                <w:lang w:val="en-US"/>
              </w:rPr>
              <w:t xml:space="preserve">The function of the wetland needs to be evaluated to determine if the wetland is a groundwater recharge or discharge feature. If the wetland is a groundwater discharge </w:t>
            </w:r>
            <w:proofErr w:type="gramStart"/>
            <w:r w:rsidRPr="0086726A">
              <w:rPr>
                <w:rFonts w:cstheme="minorHAnsi"/>
                <w:lang w:val="en-US"/>
              </w:rPr>
              <w:t>feature</w:t>
            </w:r>
            <w:proofErr w:type="gramEnd"/>
            <w:r w:rsidRPr="0086726A">
              <w:rPr>
                <w:rFonts w:cstheme="minorHAnsi"/>
                <w:lang w:val="en-US"/>
              </w:rPr>
              <w:t xml:space="preserve"> then Jp2g must discuss how groundwater flow to the wetland will be maintained under the post-development </w:t>
            </w:r>
            <w:proofErr w:type="gramStart"/>
            <w:r w:rsidRPr="0086726A">
              <w:rPr>
                <w:rFonts w:cstheme="minorHAnsi"/>
                <w:lang w:val="en-US"/>
              </w:rPr>
              <w:t>condition</w:t>
            </w:r>
            <w:proofErr w:type="gramEnd"/>
            <w:r w:rsidRPr="0086726A">
              <w:rPr>
                <w:rFonts w:cstheme="minorHAnsi"/>
                <w:lang w:val="en-US"/>
              </w:rPr>
              <w:t xml:space="preserve">. </w:t>
            </w:r>
          </w:p>
          <w:p w14:paraId="45FB8366" w14:textId="77777777" w:rsidR="006B6D7A" w:rsidRDefault="006B6D7A" w:rsidP="00E01D3D">
            <w:pPr>
              <w:rPr>
                <w:rFonts w:cstheme="minorHAnsi"/>
                <w:lang w:val="en-US"/>
              </w:rPr>
            </w:pPr>
          </w:p>
          <w:p w14:paraId="4B600A82" w14:textId="77777777" w:rsidR="00980BF9" w:rsidRPr="0086726A" w:rsidRDefault="00980BF9" w:rsidP="00980BF9">
            <w:pPr>
              <w:rPr>
                <w:rFonts w:cstheme="minorHAnsi"/>
                <w:lang w:val="en-US"/>
              </w:rPr>
            </w:pPr>
            <w:r w:rsidRPr="0086726A">
              <w:rPr>
                <w:rFonts w:cstheme="minorHAnsi"/>
                <w:b/>
                <w:bCs/>
                <w:lang w:val="en-US"/>
              </w:rPr>
              <w:t xml:space="preserve">Stantec’s Response </w:t>
            </w:r>
          </w:p>
          <w:p w14:paraId="5D087182" w14:textId="3E7FE7EF" w:rsidR="00980BF9" w:rsidRPr="00F752AE" w:rsidRDefault="00980BF9" w:rsidP="00980BF9">
            <w:pPr>
              <w:rPr>
                <w:rFonts w:cstheme="minorHAnsi"/>
                <w:lang w:val="en-US"/>
              </w:rPr>
            </w:pPr>
            <w:r w:rsidRPr="0086726A">
              <w:rPr>
                <w:rFonts w:cstheme="minorHAnsi"/>
                <w:lang w:val="en-US"/>
              </w:rPr>
              <w:t>Cambium installed a drive point piezometer in the wetland and determined that the wetland was a groundwater recharge feature. Efforts should be made in the detailed Stormwater Management Design to maintain similar levels of surface water runoff to the wetland to maintain its form and function and this should be determined through the completion of a feature-based water balance.</w:t>
            </w:r>
          </w:p>
        </w:tc>
        <w:tc>
          <w:tcPr>
            <w:tcW w:w="1208" w:type="dxa"/>
            <w:shd w:val="clear" w:color="auto" w:fill="D9E2F3" w:themeFill="accent1" w:themeFillTint="33"/>
            <w:vAlign w:val="center"/>
          </w:tcPr>
          <w:p w14:paraId="27F77240" w14:textId="1731751D" w:rsidR="006B6D7A" w:rsidRPr="00F752AE" w:rsidRDefault="00163AAA" w:rsidP="009E6D92">
            <w:pPr>
              <w:jc w:val="center"/>
              <w:rPr>
                <w:rFonts w:cstheme="minorHAnsi"/>
                <w:lang w:val="en-US"/>
              </w:rPr>
            </w:pPr>
            <w:r>
              <w:rPr>
                <w:rFonts w:cstheme="minorHAnsi"/>
                <w:lang w:val="en-US"/>
              </w:rPr>
              <w:t>Cambium</w:t>
            </w:r>
          </w:p>
        </w:tc>
        <w:tc>
          <w:tcPr>
            <w:tcW w:w="3922" w:type="dxa"/>
            <w:shd w:val="clear" w:color="auto" w:fill="D9E2F3" w:themeFill="accent1" w:themeFillTint="33"/>
            <w:vAlign w:val="center"/>
          </w:tcPr>
          <w:p w14:paraId="5AE6DBE9" w14:textId="67B8AF57" w:rsidR="006B6D7A" w:rsidRPr="00F752AE" w:rsidRDefault="00980BF9" w:rsidP="00E01D3D">
            <w:pPr>
              <w:rPr>
                <w:rFonts w:cstheme="minorHAnsi"/>
                <w:lang w:val="en-US"/>
              </w:rPr>
            </w:pPr>
            <w:r>
              <w:rPr>
                <w:rFonts w:cstheme="minorHAnsi"/>
                <w:lang w:val="en-US"/>
              </w:rPr>
              <w:t>Feature based water balance will be completed to evaluate the developmental impacts on the wetland feature concurrently with the Phase II detailed design and application. This approach was reviewed and agreed upon with KCA in a meeting held on December 2, 2024</w:t>
            </w:r>
          </w:p>
        </w:tc>
      </w:tr>
      <w:tr w:rsidR="00E24324" w:rsidRPr="00F752AE" w14:paraId="00A8AD73" w14:textId="77777777" w:rsidTr="009E6D92">
        <w:tc>
          <w:tcPr>
            <w:tcW w:w="555" w:type="dxa"/>
            <w:shd w:val="clear" w:color="auto" w:fill="D9E2F3" w:themeFill="accent1" w:themeFillTint="33"/>
            <w:vAlign w:val="center"/>
          </w:tcPr>
          <w:p w14:paraId="4B0619BB" w14:textId="1D2F6ED6" w:rsidR="006B6D7A" w:rsidRPr="00F752AE" w:rsidRDefault="00E24324" w:rsidP="00E01D3D">
            <w:pPr>
              <w:rPr>
                <w:rFonts w:cstheme="minorHAnsi"/>
                <w:lang w:val="en-US"/>
              </w:rPr>
            </w:pPr>
            <w:r w:rsidRPr="00F752AE">
              <w:rPr>
                <w:rFonts w:cstheme="minorHAnsi"/>
                <w:lang w:val="en-US"/>
              </w:rPr>
              <w:t>3</w:t>
            </w:r>
          </w:p>
        </w:tc>
        <w:tc>
          <w:tcPr>
            <w:tcW w:w="8800" w:type="dxa"/>
            <w:shd w:val="clear" w:color="auto" w:fill="D9E2F3" w:themeFill="accent1" w:themeFillTint="33"/>
            <w:vAlign w:val="center"/>
          </w:tcPr>
          <w:p w14:paraId="15EC2A11" w14:textId="77777777" w:rsidR="00980BF9" w:rsidRDefault="00980BF9" w:rsidP="00980BF9">
            <w:pPr>
              <w:rPr>
                <w:rFonts w:cstheme="minorHAnsi"/>
                <w:lang w:val="en-US"/>
              </w:rPr>
            </w:pPr>
            <w:r w:rsidRPr="0086726A">
              <w:rPr>
                <w:rFonts w:cstheme="minorHAnsi"/>
                <w:lang w:val="en-US"/>
              </w:rPr>
              <w:t xml:space="preserve">A pre- and post-development water balance must be completed to assess the infiltration deficit and identify appropriate mitigation measures to maintain pre-development infiltration rates. This exercise is important to establish whether sufficient infiltration will be available for nitrate dilution to occur under the post-development condition. </w:t>
            </w:r>
          </w:p>
          <w:p w14:paraId="2016998E" w14:textId="77777777" w:rsidR="00980BF9" w:rsidRPr="0086726A" w:rsidRDefault="00980BF9" w:rsidP="00980BF9">
            <w:pPr>
              <w:rPr>
                <w:rFonts w:cstheme="minorHAnsi"/>
                <w:lang w:val="en-US"/>
              </w:rPr>
            </w:pPr>
          </w:p>
          <w:p w14:paraId="1E0DAC16" w14:textId="77777777" w:rsidR="00980BF9" w:rsidRPr="0086726A" w:rsidRDefault="00980BF9" w:rsidP="00980BF9">
            <w:pPr>
              <w:rPr>
                <w:rFonts w:cstheme="minorHAnsi"/>
                <w:lang w:val="en-US"/>
              </w:rPr>
            </w:pPr>
            <w:r w:rsidRPr="0086726A">
              <w:rPr>
                <w:rFonts w:cstheme="minorHAnsi"/>
                <w:b/>
                <w:bCs/>
                <w:lang w:val="en-US"/>
              </w:rPr>
              <w:t xml:space="preserve">Stantec’s Response </w:t>
            </w:r>
          </w:p>
          <w:p w14:paraId="0D8F971F" w14:textId="77777777" w:rsidR="00980BF9" w:rsidRPr="00C433EC" w:rsidRDefault="00980BF9" w:rsidP="00980BF9">
            <w:pPr>
              <w:rPr>
                <w:rFonts w:cstheme="minorHAnsi"/>
                <w:lang w:val="en-US"/>
              </w:rPr>
            </w:pPr>
            <w:r w:rsidRPr="0086726A">
              <w:rPr>
                <w:rFonts w:cstheme="minorHAnsi"/>
                <w:lang w:val="en-US"/>
              </w:rPr>
              <w:t xml:space="preserve">Cambium completed a pre- and post-development water </w:t>
            </w:r>
            <w:proofErr w:type="gramStart"/>
            <w:r w:rsidRPr="0086726A">
              <w:rPr>
                <w:rFonts w:cstheme="minorHAnsi"/>
                <w:lang w:val="en-US"/>
              </w:rPr>
              <w:t>balance</w:t>
            </w:r>
            <w:proofErr w:type="gramEnd"/>
            <w:r w:rsidRPr="0086726A">
              <w:rPr>
                <w:rFonts w:cstheme="minorHAnsi"/>
                <w:lang w:val="en-US"/>
              </w:rPr>
              <w:t xml:space="preserve"> and it was determined that rooftop runoff will offset 56% of the post-development infiltration deficit by 56%. The remaining 44% of the infiltration deficit will need to be offset using other LID measures and this should be detailed in the Stormwater Management Report. </w:t>
            </w:r>
          </w:p>
          <w:p w14:paraId="183CAE89" w14:textId="576B3280" w:rsidR="006B6D7A" w:rsidRPr="00F752AE" w:rsidRDefault="006B6D7A" w:rsidP="00E01D3D">
            <w:pPr>
              <w:rPr>
                <w:rFonts w:cstheme="minorHAnsi"/>
                <w:lang w:val="en-US"/>
              </w:rPr>
            </w:pPr>
          </w:p>
        </w:tc>
        <w:tc>
          <w:tcPr>
            <w:tcW w:w="1208" w:type="dxa"/>
            <w:shd w:val="clear" w:color="auto" w:fill="D9E2F3" w:themeFill="accent1" w:themeFillTint="33"/>
            <w:vAlign w:val="center"/>
          </w:tcPr>
          <w:p w14:paraId="6B008D44" w14:textId="5F669686" w:rsidR="006B6D7A" w:rsidRPr="00F752AE" w:rsidRDefault="00163AAA" w:rsidP="009E6D92">
            <w:pPr>
              <w:jc w:val="center"/>
              <w:rPr>
                <w:rFonts w:cstheme="minorHAnsi"/>
                <w:lang w:val="en-US"/>
              </w:rPr>
            </w:pPr>
            <w:r>
              <w:rPr>
                <w:rFonts w:cstheme="minorHAnsi"/>
                <w:lang w:val="en-US"/>
              </w:rPr>
              <w:t>Cambium</w:t>
            </w:r>
          </w:p>
        </w:tc>
        <w:tc>
          <w:tcPr>
            <w:tcW w:w="3922" w:type="dxa"/>
            <w:shd w:val="clear" w:color="auto" w:fill="D9E2F3" w:themeFill="accent1" w:themeFillTint="33"/>
            <w:vAlign w:val="center"/>
          </w:tcPr>
          <w:p w14:paraId="0F385F32" w14:textId="25DB1EDC" w:rsidR="006B6D7A" w:rsidRPr="00F752AE" w:rsidRDefault="00980BF9" w:rsidP="00E01D3D">
            <w:pPr>
              <w:rPr>
                <w:rFonts w:cstheme="minorHAnsi"/>
                <w:lang w:val="en-US"/>
              </w:rPr>
            </w:pPr>
            <w:proofErr w:type="gramStart"/>
            <w:r>
              <w:rPr>
                <w:rFonts w:cstheme="minorHAnsi"/>
                <w:lang w:val="en-US"/>
              </w:rPr>
              <w:t>SWM</w:t>
            </w:r>
            <w:proofErr w:type="gramEnd"/>
            <w:r>
              <w:rPr>
                <w:rFonts w:cstheme="minorHAnsi"/>
                <w:lang w:val="en-US"/>
              </w:rPr>
              <w:t xml:space="preserve"> report addresses the issue of compensating the water balance deficit based on the soil infiltration rates received from Cambium.</w:t>
            </w:r>
          </w:p>
        </w:tc>
      </w:tr>
    </w:tbl>
    <w:p w14:paraId="42D9A6F5" w14:textId="43707E28" w:rsidR="006B6D7A" w:rsidRPr="00F752AE" w:rsidRDefault="006B6D7A">
      <w:pPr>
        <w:rPr>
          <w:rFonts w:cstheme="minorHAnsi"/>
          <w:lang w:val="en-US"/>
        </w:rPr>
      </w:pPr>
    </w:p>
    <w:p w14:paraId="4DA49A66" w14:textId="3EC41B0A" w:rsidR="00E24324" w:rsidRDefault="00E24324">
      <w:pPr>
        <w:rPr>
          <w:rFonts w:cstheme="minorHAnsi"/>
          <w:lang w:val="en-US"/>
        </w:rPr>
      </w:pPr>
    </w:p>
    <w:p w14:paraId="0B70D5C4" w14:textId="77777777" w:rsidR="00163AAA" w:rsidRPr="00F752AE" w:rsidRDefault="00163AAA">
      <w:pPr>
        <w:rPr>
          <w:rFonts w:cstheme="minorHAnsi"/>
          <w:lang w:val="en-US"/>
        </w:rPr>
      </w:pPr>
    </w:p>
    <w:p w14:paraId="044E1C43" w14:textId="3466EBAE" w:rsidR="00E24324" w:rsidRPr="00F752AE" w:rsidRDefault="00E24324">
      <w:pPr>
        <w:rPr>
          <w:rFonts w:cstheme="minorHAnsi"/>
          <w:lang w:val="en-US"/>
        </w:rPr>
      </w:pPr>
    </w:p>
    <w:p w14:paraId="6B6C2F6D" w14:textId="306451CC" w:rsidR="00BD0023" w:rsidRPr="00F752AE" w:rsidRDefault="00BD0023">
      <w:pPr>
        <w:rPr>
          <w:rFonts w:cstheme="minorHAnsi"/>
          <w:lang w:val="en-US"/>
        </w:rPr>
      </w:pPr>
    </w:p>
    <w:tbl>
      <w:tblPr>
        <w:tblStyle w:val="TableGrid"/>
        <w:tblW w:w="14485" w:type="dxa"/>
        <w:tblLook w:val="04A0" w:firstRow="1" w:lastRow="0" w:firstColumn="1" w:lastColumn="0" w:noHBand="0" w:noVBand="1"/>
      </w:tblPr>
      <w:tblGrid>
        <w:gridCol w:w="560"/>
        <w:gridCol w:w="8795"/>
        <w:gridCol w:w="1208"/>
        <w:gridCol w:w="3922"/>
      </w:tblGrid>
      <w:tr w:rsidR="00F56293" w:rsidRPr="00F752AE" w14:paraId="68B4C95F" w14:textId="77777777" w:rsidTr="009E6D92">
        <w:trPr>
          <w:tblHeader/>
        </w:trPr>
        <w:tc>
          <w:tcPr>
            <w:tcW w:w="560" w:type="dxa"/>
            <w:shd w:val="clear" w:color="auto" w:fill="767171" w:themeFill="background2" w:themeFillShade="80"/>
            <w:vAlign w:val="center"/>
          </w:tcPr>
          <w:p w14:paraId="55E525F1" w14:textId="77777777" w:rsidR="00F56293" w:rsidRPr="00F752AE" w:rsidRDefault="00F56293" w:rsidP="00E01D3D">
            <w:pPr>
              <w:rPr>
                <w:rFonts w:cstheme="minorHAnsi"/>
                <w:b/>
                <w:bCs/>
                <w:color w:val="FFFFFF" w:themeColor="background1"/>
                <w:lang w:val="en-US"/>
              </w:rPr>
            </w:pPr>
          </w:p>
        </w:tc>
        <w:tc>
          <w:tcPr>
            <w:tcW w:w="8795" w:type="dxa"/>
            <w:shd w:val="clear" w:color="auto" w:fill="767171" w:themeFill="background2" w:themeFillShade="80"/>
            <w:vAlign w:val="center"/>
          </w:tcPr>
          <w:p w14:paraId="52ED6FA8" w14:textId="77777777" w:rsidR="00F56293" w:rsidRPr="00F752AE" w:rsidRDefault="00F56293" w:rsidP="00E01D3D">
            <w:pPr>
              <w:jc w:val="center"/>
              <w:rPr>
                <w:rFonts w:cstheme="minorHAnsi"/>
                <w:b/>
                <w:bCs/>
                <w:color w:val="FFFFFF" w:themeColor="background1"/>
                <w:lang w:val="en-US"/>
              </w:rPr>
            </w:pPr>
            <w:r w:rsidRPr="00F752AE">
              <w:rPr>
                <w:rFonts w:cstheme="minorHAnsi"/>
                <w:b/>
                <w:bCs/>
                <w:color w:val="FFFFFF" w:themeColor="background1"/>
                <w:lang w:val="en-US"/>
              </w:rPr>
              <w:t>Comment</w:t>
            </w:r>
          </w:p>
        </w:tc>
        <w:tc>
          <w:tcPr>
            <w:tcW w:w="1208" w:type="dxa"/>
            <w:shd w:val="clear" w:color="auto" w:fill="767171" w:themeFill="background2" w:themeFillShade="80"/>
            <w:vAlign w:val="center"/>
          </w:tcPr>
          <w:p w14:paraId="79E16974" w14:textId="77777777" w:rsidR="00F56293" w:rsidRPr="00F752AE" w:rsidRDefault="00F56293" w:rsidP="009E6D92">
            <w:pPr>
              <w:jc w:val="center"/>
              <w:rPr>
                <w:rFonts w:cstheme="minorHAnsi"/>
                <w:b/>
                <w:bCs/>
                <w:color w:val="FFFFFF" w:themeColor="background1"/>
                <w:lang w:val="en-US"/>
              </w:rPr>
            </w:pPr>
            <w:r w:rsidRPr="00F752AE">
              <w:rPr>
                <w:rFonts w:cstheme="minorHAnsi"/>
                <w:b/>
                <w:bCs/>
                <w:color w:val="FFFFFF" w:themeColor="background1"/>
                <w:lang w:val="en-US"/>
              </w:rPr>
              <w:t>Consultant</w:t>
            </w:r>
          </w:p>
        </w:tc>
        <w:tc>
          <w:tcPr>
            <w:tcW w:w="3922" w:type="dxa"/>
            <w:shd w:val="clear" w:color="auto" w:fill="767171" w:themeFill="background2" w:themeFillShade="80"/>
            <w:vAlign w:val="center"/>
          </w:tcPr>
          <w:p w14:paraId="579776C8" w14:textId="77777777" w:rsidR="00F56293" w:rsidRPr="00F752AE" w:rsidRDefault="00F56293" w:rsidP="00E01D3D">
            <w:pPr>
              <w:jc w:val="center"/>
              <w:rPr>
                <w:rFonts w:cstheme="minorHAnsi"/>
                <w:b/>
                <w:bCs/>
                <w:color w:val="FFFFFF" w:themeColor="background1"/>
                <w:lang w:val="en-US"/>
              </w:rPr>
            </w:pPr>
            <w:r w:rsidRPr="00F752AE">
              <w:rPr>
                <w:rFonts w:cstheme="minorHAnsi"/>
                <w:b/>
                <w:bCs/>
                <w:color w:val="FFFFFF" w:themeColor="background1"/>
                <w:lang w:val="en-US"/>
              </w:rPr>
              <w:t>Response</w:t>
            </w:r>
          </w:p>
        </w:tc>
      </w:tr>
      <w:tr w:rsidR="00F56293" w:rsidRPr="00F752AE" w14:paraId="0677CD69" w14:textId="77777777" w:rsidTr="009E6D92">
        <w:trPr>
          <w:tblHeader/>
        </w:trPr>
        <w:tc>
          <w:tcPr>
            <w:tcW w:w="560" w:type="dxa"/>
            <w:shd w:val="clear" w:color="auto" w:fill="A8D08D" w:themeFill="accent6" w:themeFillTint="99"/>
            <w:vAlign w:val="center"/>
          </w:tcPr>
          <w:p w14:paraId="7A9E1EDE" w14:textId="77777777" w:rsidR="00F56293" w:rsidRPr="00F752AE" w:rsidRDefault="00F56293" w:rsidP="00E01D3D">
            <w:pPr>
              <w:jc w:val="center"/>
              <w:rPr>
                <w:rFonts w:cstheme="minorHAnsi"/>
                <w:b/>
                <w:bCs/>
                <w:lang w:val="en-US"/>
              </w:rPr>
            </w:pPr>
            <w:r w:rsidRPr="00F752AE">
              <w:rPr>
                <w:rFonts w:cstheme="minorHAnsi"/>
                <w:b/>
                <w:bCs/>
                <w:lang w:val="en-US"/>
              </w:rPr>
              <w:t>#</w:t>
            </w:r>
          </w:p>
        </w:tc>
        <w:tc>
          <w:tcPr>
            <w:tcW w:w="8795" w:type="dxa"/>
            <w:shd w:val="clear" w:color="auto" w:fill="A8D08D" w:themeFill="accent6" w:themeFillTint="99"/>
            <w:vAlign w:val="center"/>
          </w:tcPr>
          <w:p w14:paraId="3F3CE979" w14:textId="6081367D" w:rsidR="0040612F" w:rsidRPr="00AB57D2" w:rsidRDefault="00AB57D2" w:rsidP="0040612F">
            <w:pPr>
              <w:rPr>
                <w:rFonts w:cstheme="minorHAnsi"/>
                <w:b/>
                <w:bCs/>
              </w:rPr>
            </w:pPr>
            <w:r w:rsidRPr="00AB57D2">
              <w:rPr>
                <w:rFonts w:cstheme="minorHAnsi"/>
                <w:b/>
                <w:bCs/>
              </w:rPr>
              <w:t>2024-05-01 RPT EIS – Bobcaygeon, Cambium</w:t>
            </w:r>
          </w:p>
        </w:tc>
        <w:tc>
          <w:tcPr>
            <w:tcW w:w="5130" w:type="dxa"/>
            <w:gridSpan w:val="2"/>
            <w:shd w:val="clear" w:color="auto" w:fill="A8D08D" w:themeFill="accent6" w:themeFillTint="99"/>
            <w:vAlign w:val="center"/>
          </w:tcPr>
          <w:p w14:paraId="1ED5ADC3" w14:textId="1FD5544B" w:rsidR="0040612F" w:rsidRPr="00AB57D2" w:rsidRDefault="00F56293" w:rsidP="009E6D92">
            <w:pPr>
              <w:rPr>
                <w:rFonts w:cstheme="minorHAnsi"/>
                <w:b/>
                <w:bCs/>
                <w:lang w:val="en-US"/>
              </w:rPr>
            </w:pPr>
            <w:r w:rsidRPr="00F752AE">
              <w:rPr>
                <w:rFonts w:cstheme="minorHAnsi"/>
                <w:b/>
                <w:bCs/>
                <w:lang w:val="en-US"/>
              </w:rPr>
              <w:t>Commenter</w:t>
            </w:r>
            <w:proofErr w:type="gramStart"/>
            <w:r w:rsidRPr="00F752AE">
              <w:rPr>
                <w:rFonts w:cstheme="minorHAnsi"/>
                <w:b/>
                <w:bCs/>
                <w:lang w:val="en-US"/>
              </w:rPr>
              <w:t>:  Stantec</w:t>
            </w:r>
            <w:proofErr w:type="gramEnd"/>
            <w:r w:rsidRPr="00F752AE">
              <w:rPr>
                <w:rFonts w:cstheme="minorHAnsi"/>
                <w:b/>
                <w:bCs/>
                <w:lang w:val="en-US"/>
              </w:rPr>
              <w:t xml:space="preserve"> Consulting Ltd. (Peer Review on behalf of the County of Peterborough)</w:t>
            </w:r>
          </w:p>
        </w:tc>
      </w:tr>
      <w:tr w:rsidR="00296360" w:rsidRPr="00F752AE" w14:paraId="19AD2DD7" w14:textId="77777777" w:rsidTr="009E6D92">
        <w:tc>
          <w:tcPr>
            <w:tcW w:w="560" w:type="dxa"/>
            <w:shd w:val="clear" w:color="auto" w:fill="F2F8EE"/>
            <w:vAlign w:val="center"/>
          </w:tcPr>
          <w:p w14:paraId="3D0FF822" w14:textId="77777777" w:rsidR="00296360" w:rsidRPr="00F752AE" w:rsidRDefault="00296360" w:rsidP="00296360">
            <w:pPr>
              <w:rPr>
                <w:rFonts w:cstheme="minorHAnsi"/>
                <w:lang w:val="en-US"/>
              </w:rPr>
            </w:pPr>
            <w:r w:rsidRPr="00F752AE">
              <w:rPr>
                <w:rFonts w:cstheme="minorHAnsi"/>
                <w:lang w:val="en-US"/>
              </w:rPr>
              <w:t>1</w:t>
            </w:r>
          </w:p>
        </w:tc>
        <w:tc>
          <w:tcPr>
            <w:tcW w:w="8795" w:type="dxa"/>
            <w:shd w:val="clear" w:color="auto" w:fill="F2F8EE"/>
            <w:vAlign w:val="center"/>
          </w:tcPr>
          <w:p w14:paraId="79F62BB9" w14:textId="77777777" w:rsidR="00296360" w:rsidRPr="00296360" w:rsidRDefault="00296360" w:rsidP="00296360">
            <w:pPr>
              <w:rPr>
                <w:rFonts w:cstheme="minorHAnsi"/>
              </w:rPr>
            </w:pPr>
            <w:r w:rsidRPr="00296360">
              <w:rPr>
                <w:rFonts w:cstheme="minorHAnsi"/>
              </w:rPr>
              <w:t>Page 5 and 6 of 8</w:t>
            </w:r>
          </w:p>
          <w:p w14:paraId="73F84CCB" w14:textId="77777777" w:rsidR="00296360" w:rsidRPr="00296360" w:rsidRDefault="00296360" w:rsidP="00296360">
            <w:pPr>
              <w:rPr>
                <w:rFonts w:cstheme="minorHAnsi"/>
              </w:rPr>
            </w:pPr>
            <w:r w:rsidRPr="00296360">
              <w:rPr>
                <w:rFonts w:cstheme="minorHAnsi"/>
                <w:b/>
                <w:bCs/>
              </w:rPr>
              <w:t xml:space="preserve">IMPACT ASSESSMENT AND MITIGATION MEASURES </w:t>
            </w:r>
          </w:p>
          <w:p w14:paraId="17A70567" w14:textId="77777777" w:rsidR="00296360" w:rsidRPr="00296360" w:rsidRDefault="00296360" w:rsidP="00296360">
            <w:pPr>
              <w:rPr>
                <w:rFonts w:cstheme="minorHAnsi"/>
                <w:i/>
                <w:iCs/>
              </w:rPr>
            </w:pPr>
            <w:r w:rsidRPr="00296360">
              <w:rPr>
                <w:rFonts w:cstheme="minorHAnsi"/>
              </w:rPr>
              <w:t>It was noted in Section 5.1 of the report (Unevaluated Wetlands) that “</w:t>
            </w:r>
            <w:r w:rsidRPr="00296360">
              <w:rPr>
                <w:rFonts w:cstheme="minorHAnsi"/>
                <w:i/>
                <w:iCs/>
              </w:rPr>
              <w:t>Two (2) wetlands (Wetlands 2 and 3) are proposed to accommodate the development.</w:t>
            </w:r>
            <w:r w:rsidRPr="00296360">
              <w:rPr>
                <w:rFonts w:cstheme="minorHAnsi"/>
              </w:rPr>
              <w:t>” Both were noted to not be suitable for turtle overwintering habitat, fisheries habitat nor SWH for amphibians (although Wetland 2 is recommended to be reassessed for SWH during early spring amphibian surveys). It is further recognised that Wetland 1 will be retained and buffered. However, it is not clear on the impacts to the other ponds. Based on the discussion in the report it appears that only Pond 5 will be retained; however, it is not implicitly clear. Furthermore, Section 5.2.1 (Turtle Wintering Habitat) Stated “</w:t>
            </w:r>
            <w:r w:rsidRPr="00296360">
              <w:rPr>
                <w:rFonts w:cstheme="minorHAnsi"/>
                <w:i/>
                <w:iCs/>
              </w:rPr>
              <w:t>it is recommended that basking logs are installed within Pond 5, prior to the removal of Pond 4, to enhance basking conditions and mitigate removal of the Pond 4 feature</w:t>
            </w:r>
            <w:r w:rsidRPr="00296360">
              <w:rPr>
                <w:rFonts w:cstheme="minorHAnsi"/>
              </w:rPr>
              <w:t>.” The removal of Pond 4 nor the other three ponds was not mentioned in Section 5.1 under impacts to wetlands. The removal of Ponds 1, 2, 3 and 4 seems consistent with the plan provided in Appendix A, however, Stantec is unsure. Also, it is unclear whether the inputs into Pond 5 and Wetland 1 will be appropriately balanced to maintain pond function, although Table 14 does state that “</w:t>
            </w:r>
            <w:r w:rsidRPr="00296360">
              <w:rPr>
                <w:rFonts w:cstheme="minorHAnsi"/>
                <w:i/>
                <w:iCs/>
              </w:rPr>
              <w:t>The Stormwater Management Plan</w:t>
            </w:r>
            <w:r>
              <w:rPr>
                <w:rFonts w:cstheme="minorHAnsi"/>
                <w:i/>
                <w:iCs/>
              </w:rPr>
              <w:t xml:space="preserve"> </w:t>
            </w:r>
            <w:r w:rsidRPr="00296360">
              <w:rPr>
                <w:rFonts w:cstheme="minorHAnsi"/>
                <w:i/>
                <w:iCs/>
              </w:rPr>
              <w:t xml:space="preserve">prepared for the Site should specifically address potential stormwater-related impacts to water quality and quantity of the surrounding wetlands and watercourse, through quality control measures and a feature-based water balance study.” </w:t>
            </w:r>
            <w:r w:rsidRPr="00296360">
              <w:rPr>
                <w:rFonts w:cstheme="minorHAnsi"/>
                <w:b/>
                <w:bCs/>
                <w:i/>
                <w:iCs/>
              </w:rPr>
              <w:t xml:space="preserve">Some discussion is recommended regarding the specific removal of ponds and regulatory and ecological considerations regarding the removal of the ponds and the consideration for condensing wildlife from Ponds 1 – 4 into Pond 5/Wetland 1. </w:t>
            </w:r>
            <w:r w:rsidRPr="00296360">
              <w:rPr>
                <w:rFonts w:cstheme="minorHAnsi"/>
                <w:i/>
                <w:iCs/>
              </w:rPr>
              <w:t xml:space="preserve">Stantec assumes that the water balance study will be completed to maintain the function of Pond 5. </w:t>
            </w:r>
          </w:p>
          <w:p w14:paraId="7D870B6B" w14:textId="77777777" w:rsidR="00296360" w:rsidRPr="00296360" w:rsidRDefault="00296360" w:rsidP="00296360">
            <w:pPr>
              <w:rPr>
                <w:rFonts w:cstheme="minorHAnsi"/>
                <w:i/>
                <w:iCs/>
              </w:rPr>
            </w:pPr>
            <w:r w:rsidRPr="00296360">
              <w:rPr>
                <w:rFonts w:cstheme="minorHAnsi"/>
                <w:i/>
                <w:iCs/>
              </w:rPr>
              <w:t xml:space="preserve">In addition, it is not clear what the buffer for Wetland 1 is on Figure 2. The watercourse and the turtle wintering habitat is provided a 15 m </w:t>
            </w:r>
            <w:proofErr w:type="gramStart"/>
            <w:r w:rsidRPr="00296360">
              <w:rPr>
                <w:rFonts w:cstheme="minorHAnsi"/>
                <w:i/>
                <w:iCs/>
              </w:rPr>
              <w:t>buffer</w:t>
            </w:r>
            <w:proofErr w:type="gramEnd"/>
            <w:r w:rsidRPr="00296360">
              <w:rPr>
                <w:rFonts w:cstheme="minorHAnsi"/>
                <w:i/>
                <w:iCs/>
              </w:rPr>
              <w:t xml:space="preserve"> but the enhancement area does no implicitly show the proposed buffers. </w:t>
            </w:r>
            <w:r w:rsidRPr="00296360">
              <w:rPr>
                <w:rFonts w:cstheme="minorHAnsi"/>
                <w:b/>
                <w:bCs/>
                <w:i/>
                <w:iCs/>
              </w:rPr>
              <w:t xml:space="preserve">Some discussion on a minimum buffer is recommended. </w:t>
            </w:r>
            <w:r w:rsidRPr="00296360">
              <w:rPr>
                <w:rFonts w:cstheme="minorHAnsi"/>
                <w:i/>
                <w:iCs/>
              </w:rPr>
              <w:t xml:space="preserve">Stantec assumes that the KCA will be reviewing and commenting on the enhancement area plan as part of the Wetland Buffer Enhancement Area. </w:t>
            </w:r>
          </w:p>
          <w:p w14:paraId="5AA03414" w14:textId="40CE0141" w:rsidR="00296360" w:rsidRPr="00F752AE" w:rsidRDefault="00296360" w:rsidP="00296360">
            <w:pPr>
              <w:rPr>
                <w:rFonts w:cstheme="minorHAnsi"/>
                <w:lang w:val="en-US"/>
              </w:rPr>
            </w:pPr>
            <w:r w:rsidRPr="00296360">
              <w:rPr>
                <w:rFonts w:cstheme="minorHAnsi"/>
                <w:i/>
                <w:iCs/>
              </w:rPr>
              <w:t xml:space="preserve">Section 5.2.2 (Amphibian Breeding Habitat) stated: “Wetland 3 (Phase I lands) is not considered SWH for amphibians… Within Wetland 2 (Phase 2 lands), a call code of 3 was documented for a single amphibian species (Gray Treefrog) at both the ACS5 and ASC6 stations, but otherwise breeding activity was low. Further investigations are recommended to confirm if the complex should be considered SWH.” There </w:t>
            </w:r>
            <w:proofErr w:type="gramStart"/>
            <w:r w:rsidRPr="00296360">
              <w:rPr>
                <w:rFonts w:cstheme="minorHAnsi"/>
                <w:i/>
                <w:iCs/>
              </w:rPr>
              <w:t>were</w:t>
            </w:r>
            <w:proofErr w:type="gramEnd"/>
            <w:r w:rsidRPr="00296360">
              <w:rPr>
                <w:rFonts w:cstheme="minorHAnsi"/>
                <w:i/>
                <w:iCs/>
              </w:rPr>
              <w:t xml:space="preserve"> no mitigation measures provided to reduce potential impacts to amphibians should Wetland 2 be considered SWH. Section 7.0 (Recommendations) indicated: “An early season amphibian survey is recommended at ACS5 and ASC6, within the Phase 2 lands, to confirm amphibian call levels and subsequent categorization of Wetland 2 as candidate or confirmed SWH for amphibian breeding. Further discussion is provided in Section 5.2.” </w:t>
            </w:r>
            <w:r w:rsidRPr="00296360">
              <w:rPr>
                <w:rFonts w:cstheme="minorHAnsi"/>
                <w:b/>
                <w:bCs/>
                <w:i/>
                <w:iCs/>
              </w:rPr>
              <w:t>Some discussion is recommended to indicate the implications of Provincial Policy on the development if the wetland is classified as SWH.</w:t>
            </w:r>
          </w:p>
        </w:tc>
        <w:tc>
          <w:tcPr>
            <w:tcW w:w="1208" w:type="dxa"/>
            <w:shd w:val="clear" w:color="auto" w:fill="F2F8EE"/>
            <w:vAlign w:val="center"/>
          </w:tcPr>
          <w:p w14:paraId="4EFAD8AD" w14:textId="29FB1344"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75020BE6" w14:textId="77777777" w:rsidR="00980BF9" w:rsidRDefault="00980BF9" w:rsidP="00980BF9">
            <w:pPr>
              <w:rPr>
                <w:rFonts w:cstheme="minorHAnsi"/>
                <w:lang w:val="en-US"/>
              </w:rPr>
            </w:pPr>
            <w:r>
              <w:rPr>
                <w:rFonts w:cstheme="minorHAnsi"/>
                <w:lang w:val="en-US"/>
              </w:rPr>
              <w:t>With respect to additional ecological considerations,</w:t>
            </w:r>
            <w:r w:rsidRPr="008F044F">
              <w:rPr>
                <w:rFonts w:cstheme="minorHAnsi"/>
                <w:lang w:val="en-US"/>
              </w:rPr>
              <w:t xml:space="preserve"> </w:t>
            </w:r>
            <w:bookmarkStart w:id="0" w:name="_Hlk184986021"/>
            <w:r>
              <w:rPr>
                <w:rFonts w:cstheme="minorHAnsi"/>
                <w:lang w:val="en-US"/>
              </w:rPr>
              <w:t>p</w:t>
            </w:r>
            <w:r w:rsidRPr="008F044F">
              <w:rPr>
                <w:rFonts w:cstheme="minorHAnsi"/>
                <w:lang w:val="en-US"/>
              </w:rPr>
              <w:t>ond dewatering</w:t>
            </w:r>
            <w:r>
              <w:rPr>
                <w:rFonts w:cstheme="minorHAnsi"/>
                <w:lang w:val="en-US"/>
              </w:rPr>
              <w:t xml:space="preserve"> and removal </w:t>
            </w:r>
            <w:r w:rsidRPr="008F044F">
              <w:rPr>
                <w:rFonts w:cstheme="minorHAnsi"/>
                <w:lang w:val="en-US"/>
              </w:rPr>
              <w:t xml:space="preserve">should occur </w:t>
            </w:r>
            <w:r>
              <w:rPr>
                <w:rFonts w:cstheme="minorHAnsi"/>
                <w:lang w:val="en-US"/>
              </w:rPr>
              <w:t xml:space="preserve">between late </w:t>
            </w:r>
            <w:r w:rsidRPr="008F044F">
              <w:rPr>
                <w:rFonts w:cstheme="minorHAnsi"/>
                <w:lang w:val="en-US"/>
              </w:rPr>
              <w:t>summer</w:t>
            </w:r>
            <w:r>
              <w:rPr>
                <w:rFonts w:cstheme="minorHAnsi"/>
                <w:lang w:val="en-US"/>
              </w:rPr>
              <w:t xml:space="preserve"> and </w:t>
            </w:r>
            <w:r w:rsidRPr="008F044F">
              <w:rPr>
                <w:rFonts w:cstheme="minorHAnsi"/>
                <w:lang w:val="en-US"/>
              </w:rPr>
              <w:t>early fall</w:t>
            </w:r>
            <w:r>
              <w:rPr>
                <w:rFonts w:cstheme="minorHAnsi"/>
                <w:lang w:val="en-US"/>
              </w:rPr>
              <w:t xml:space="preserve"> to mitigate impacts </w:t>
            </w:r>
            <w:proofErr w:type="gramStart"/>
            <w:r>
              <w:rPr>
                <w:rFonts w:cstheme="minorHAnsi"/>
                <w:lang w:val="en-US"/>
              </w:rPr>
              <w:t>to</w:t>
            </w:r>
            <w:proofErr w:type="gramEnd"/>
            <w:r>
              <w:rPr>
                <w:rFonts w:cstheme="minorHAnsi"/>
                <w:lang w:val="en-US"/>
              </w:rPr>
              <w:t xml:space="preserve"> turtles that may be present. In addition, the ponds should be inspected during </w:t>
            </w:r>
            <w:r w:rsidRPr="008F044F">
              <w:rPr>
                <w:rFonts w:cstheme="minorHAnsi"/>
                <w:lang w:val="en-US"/>
              </w:rPr>
              <w:t>dewatering</w:t>
            </w:r>
            <w:r>
              <w:rPr>
                <w:rFonts w:cstheme="minorHAnsi"/>
                <w:lang w:val="en-US"/>
              </w:rPr>
              <w:t xml:space="preserve"> activities, or prior to removal, to ensure no turtles are present. If present, the turtles should be moved to Pond 5. </w:t>
            </w:r>
            <w:r w:rsidRPr="008F044F">
              <w:rPr>
                <w:rFonts w:cstheme="minorHAnsi"/>
                <w:lang w:val="en-US"/>
              </w:rPr>
              <w:t xml:space="preserve">A Wildlife Scientific Collector’s Authorization will be required </w:t>
            </w:r>
            <w:proofErr w:type="gramStart"/>
            <w:r w:rsidRPr="008F044F">
              <w:rPr>
                <w:rFonts w:cstheme="minorHAnsi"/>
                <w:lang w:val="en-US"/>
              </w:rPr>
              <w:t>from</w:t>
            </w:r>
            <w:proofErr w:type="gramEnd"/>
            <w:r w:rsidRPr="008F044F">
              <w:rPr>
                <w:rFonts w:cstheme="minorHAnsi"/>
                <w:lang w:val="en-US"/>
              </w:rPr>
              <w:t xml:space="preserve"> the MNR to facilitate the relocation of wildlife species</w:t>
            </w:r>
            <w:r>
              <w:rPr>
                <w:rFonts w:cstheme="minorHAnsi"/>
                <w:lang w:val="en-US"/>
              </w:rPr>
              <w:t xml:space="preserve">, as applicable. </w:t>
            </w:r>
            <w:bookmarkEnd w:id="0"/>
          </w:p>
          <w:p w14:paraId="6A8F7734" w14:textId="77777777" w:rsidR="00980BF9" w:rsidRDefault="00980BF9" w:rsidP="00980BF9">
            <w:pPr>
              <w:rPr>
                <w:rFonts w:cstheme="minorHAnsi"/>
                <w:lang w:val="en-US"/>
              </w:rPr>
            </w:pPr>
          </w:p>
          <w:p w14:paraId="1CDD0173" w14:textId="77777777" w:rsidR="00980BF9" w:rsidRDefault="00980BF9" w:rsidP="00980BF9">
            <w:pPr>
              <w:pStyle w:val="BodyText"/>
            </w:pPr>
            <w:r w:rsidRPr="00E7770E">
              <w:rPr>
                <w:rFonts w:cstheme="minorHAnsi"/>
              </w:rPr>
              <w:t xml:space="preserve">The SWM </w:t>
            </w:r>
            <w:r w:rsidRPr="00003F0D">
              <w:rPr>
                <w:rFonts w:asciiTheme="minorHAnsi" w:eastAsiaTheme="minorHAnsi" w:hAnsiTheme="minorHAnsi" w:cstheme="minorHAnsi"/>
                <w:sz w:val="22"/>
                <w:szCs w:val="22"/>
              </w:rPr>
              <w:t xml:space="preserve">report prepared by Biddle </w:t>
            </w:r>
            <w:r>
              <w:rPr>
                <w:rFonts w:asciiTheme="minorHAnsi" w:eastAsiaTheme="minorHAnsi" w:hAnsiTheme="minorHAnsi" w:cstheme="minorHAnsi"/>
                <w:sz w:val="22"/>
                <w:szCs w:val="22"/>
              </w:rPr>
              <w:t>has been prepared</w:t>
            </w:r>
            <w:r w:rsidRPr="00003F0D">
              <w:rPr>
                <w:rFonts w:asciiTheme="minorHAnsi" w:eastAsiaTheme="minorHAnsi" w:hAnsiTheme="minorHAnsi" w:cstheme="minorHAnsi"/>
                <w:sz w:val="22"/>
                <w:szCs w:val="22"/>
              </w:rPr>
              <w:t xml:space="preserve"> to ensure adequate quality and quantity controls for the proposed development. Nominal changes to flow patterns are expected post-development with further refinement available during Phase II and the detailed design process. </w:t>
            </w:r>
            <w:proofErr w:type="gramStart"/>
            <w:r w:rsidRPr="00003F0D">
              <w:rPr>
                <w:rFonts w:asciiTheme="minorHAnsi" w:eastAsiaTheme="minorHAnsi" w:hAnsiTheme="minorHAnsi" w:cstheme="minorHAnsi"/>
                <w:sz w:val="22"/>
                <w:szCs w:val="22"/>
              </w:rPr>
              <w:t>In particular, a</w:t>
            </w:r>
            <w:proofErr w:type="gramEnd"/>
            <w:r w:rsidRPr="00003F0D">
              <w:rPr>
                <w:rFonts w:asciiTheme="minorHAnsi" w:eastAsiaTheme="minorHAnsi" w:hAnsiTheme="minorHAnsi" w:cstheme="minorHAnsi"/>
                <w:sz w:val="22"/>
                <w:szCs w:val="22"/>
              </w:rPr>
              <w:t xml:space="preserve"> feature-based water balance will be completed to better understand the hydraulic capacity of Wetland 1 and inform site-specific mitigation strategies to the wetland.</w:t>
            </w:r>
            <w:r>
              <w:t xml:space="preserve">  </w:t>
            </w:r>
          </w:p>
          <w:p w14:paraId="658D6068" w14:textId="77777777" w:rsidR="00980BF9" w:rsidRDefault="00980BF9" w:rsidP="00980BF9">
            <w:pPr>
              <w:rPr>
                <w:rFonts w:cstheme="minorHAnsi"/>
                <w:lang w:val="en-US"/>
              </w:rPr>
            </w:pPr>
          </w:p>
          <w:p w14:paraId="3451EA82" w14:textId="77777777" w:rsidR="00296360" w:rsidRDefault="00980BF9" w:rsidP="00980BF9">
            <w:pPr>
              <w:rPr>
                <w:rFonts w:cstheme="minorHAnsi"/>
                <w:lang w:val="en-US"/>
              </w:rPr>
            </w:pPr>
            <w:r w:rsidRPr="008F044F">
              <w:rPr>
                <w:rFonts w:cstheme="minorHAnsi"/>
                <w:lang w:val="en-US"/>
              </w:rPr>
              <w:t xml:space="preserve">A hybrid constraint limit was applied </w:t>
            </w:r>
            <w:r>
              <w:rPr>
                <w:rFonts w:cstheme="minorHAnsi"/>
                <w:lang w:val="en-US"/>
              </w:rPr>
              <w:t xml:space="preserve">to Wetland 1 </w:t>
            </w:r>
            <w:r w:rsidRPr="008F044F">
              <w:rPr>
                <w:rFonts w:cstheme="minorHAnsi"/>
                <w:lang w:val="en-US"/>
              </w:rPr>
              <w:t>that took into consideration the natural heritage features on site, enhanceme</w:t>
            </w:r>
            <w:r w:rsidRPr="004C5C47">
              <w:rPr>
                <w:rFonts w:cstheme="minorHAnsi"/>
                <w:lang w:val="en-US"/>
              </w:rPr>
              <w:t xml:space="preserve">nt potential, and existing/future ecological function. The </w:t>
            </w:r>
            <w:r>
              <w:rPr>
                <w:rFonts w:cstheme="minorHAnsi"/>
                <w:lang w:val="en-US"/>
              </w:rPr>
              <w:t xml:space="preserve">minimum </w:t>
            </w:r>
            <w:r w:rsidRPr="004C5C47">
              <w:rPr>
                <w:rFonts w:cstheme="minorHAnsi"/>
                <w:lang w:val="en-US"/>
              </w:rPr>
              <w:t xml:space="preserve">recommended setback to </w:t>
            </w:r>
            <w:r>
              <w:rPr>
                <w:rFonts w:cstheme="minorHAnsi"/>
                <w:lang w:val="en-US"/>
              </w:rPr>
              <w:t>W</w:t>
            </w:r>
            <w:r w:rsidRPr="004C5C47">
              <w:rPr>
                <w:rFonts w:cstheme="minorHAnsi"/>
                <w:lang w:val="en-US"/>
              </w:rPr>
              <w:t>etland</w:t>
            </w:r>
            <w:r>
              <w:rPr>
                <w:rFonts w:cstheme="minorHAnsi"/>
                <w:lang w:val="en-US"/>
              </w:rPr>
              <w:t xml:space="preserve"> 1 is</w:t>
            </w:r>
            <w:r w:rsidRPr="004C5C47">
              <w:rPr>
                <w:rFonts w:cstheme="minorHAnsi"/>
                <w:lang w:val="en-US"/>
              </w:rPr>
              <w:t xml:space="preserve"> 30 m</w:t>
            </w:r>
            <w:r>
              <w:rPr>
                <w:rFonts w:cstheme="minorHAnsi"/>
                <w:lang w:val="en-US"/>
              </w:rPr>
              <w:t xml:space="preserve"> (shown in yellow hatching); the setback to the associated Pond 5 is 15 m. In addition, several areas</w:t>
            </w:r>
          </w:p>
          <w:p w14:paraId="459E3A11" w14:textId="77777777" w:rsidR="00980BF9" w:rsidRPr="00300A23" w:rsidRDefault="00980BF9" w:rsidP="00980BF9">
            <w:pPr>
              <w:rPr>
                <w:rFonts w:cstheme="minorHAnsi"/>
                <w:color w:val="FF0000"/>
                <w:lang w:val="en-US"/>
              </w:rPr>
            </w:pPr>
            <w:r>
              <w:rPr>
                <w:rFonts w:cstheme="minorHAnsi"/>
                <w:lang w:val="en-US"/>
              </w:rPr>
              <w:t>within and beyond the 30 m wetland setback have been identified as potential enhancement areas. This approach was informed and supported by KCA during a meeting held on December 2, 2024.</w:t>
            </w:r>
          </w:p>
          <w:p w14:paraId="62268AE5" w14:textId="77777777" w:rsidR="00980BF9" w:rsidRDefault="00980BF9" w:rsidP="00980BF9">
            <w:pPr>
              <w:rPr>
                <w:rFonts w:cstheme="minorHAnsi"/>
                <w:lang w:val="en-US"/>
              </w:rPr>
            </w:pPr>
          </w:p>
          <w:p w14:paraId="085756E4" w14:textId="7BAB6288" w:rsidR="00980BF9" w:rsidRPr="00F752AE" w:rsidRDefault="00980BF9" w:rsidP="00980BF9">
            <w:pPr>
              <w:rPr>
                <w:rFonts w:cstheme="minorHAnsi"/>
                <w:lang w:val="en-US"/>
              </w:rPr>
            </w:pPr>
            <w:r w:rsidRPr="00A67CAF">
              <w:rPr>
                <w:rFonts w:cstheme="minorHAnsi"/>
                <w:lang w:val="en-US"/>
              </w:rPr>
              <w:t xml:space="preserve">With respect to Wetland 2, </w:t>
            </w:r>
            <w:r>
              <w:rPr>
                <w:rFonts w:cstheme="minorHAnsi"/>
                <w:lang w:val="en-US"/>
              </w:rPr>
              <w:t xml:space="preserve">early </w:t>
            </w:r>
            <w:r w:rsidRPr="00A67CAF">
              <w:rPr>
                <w:rFonts w:cstheme="minorHAnsi"/>
                <w:lang w:val="en-US"/>
              </w:rPr>
              <w:t xml:space="preserve">spring surveys were completed on April 15, </w:t>
            </w:r>
            <w:proofErr w:type="gramStart"/>
            <w:r w:rsidRPr="00A67CAF">
              <w:rPr>
                <w:rFonts w:cstheme="minorHAnsi"/>
                <w:lang w:val="en-US"/>
              </w:rPr>
              <w:t>2024</w:t>
            </w:r>
            <w:proofErr w:type="gramEnd"/>
            <w:r w:rsidRPr="00A67CAF">
              <w:rPr>
                <w:rFonts w:cstheme="minorHAnsi"/>
                <w:lang w:val="en-US"/>
              </w:rPr>
              <w:t xml:space="preserve"> at ACS5 and ACS6</w:t>
            </w:r>
            <w:r>
              <w:rPr>
                <w:rFonts w:cstheme="minorHAnsi"/>
                <w:lang w:val="en-US"/>
              </w:rPr>
              <w:t xml:space="preserve"> as recommended in the first EIS submission.</w:t>
            </w:r>
            <w:r>
              <w:rPr>
                <w:rFonts w:cstheme="minorHAnsi"/>
              </w:rPr>
              <w:t xml:space="preserve"> </w:t>
            </w:r>
            <w:r w:rsidRPr="00A8769C">
              <w:rPr>
                <w:rFonts w:cstheme="minorHAnsi"/>
              </w:rPr>
              <w:t xml:space="preserve">We note that </w:t>
            </w:r>
            <w:r>
              <w:rPr>
                <w:rFonts w:cstheme="minorHAnsi"/>
              </w:rPr>
              <w:t xml:space="preserve">through the review of field data, individual Grey Treefrogs were tabulated at the ACS5 and ACS6 stations in 2023. </w:t>
            </w:r>
            <w:r>
              <w:rPr>
                <w:rFonts w:cstheme="minorHAnsi"/>
              </w:rPr>
              <w:lastRenderedPageBreak/>
              <w:t>As such, call intensity should have</w:t>
            </w:r>
            <w:r w:rsidRPr="00A8769C">
              <w:rPr>
                <w:rFonts w:cstheme="minorHAnsi"/>
              </w:rPr>
              <w:t xml:space="preserve"> </w:t>
            </w:r>
            <w:r>
              <w:rPr>
                <w:rFonts w:cstheme="minorHAnsi"/>
              </w:rPr>
              <w:t xml:space="preserve">therefore </w:t>
            </w:r>
            <w:r w:rsidRPr="00A8769C">
              <w:rPr>
                <w:rFonts w:cstheme="minorHAnsi"/>
              </w:rPr>
              <w:t>been represented as call level code 2 per the Marsh Monitoring Protocol</w:t>
            </w:r>
            <w:r>
              <w:rPr>
                <w:rFonts w:cstheme="minorHAnsi"/>
              </w:rPr>
              <w:t xml:space="preserve">. </w:t>
            </w:r>
            <w:r w:rsidRPr="00A67CAF">
              <w:rPr>
                <w:rFonts w:cstheme="minorHAnsi"/>
                <w:lang w:val="en-US"/>
              </w:rPr>
              <w:t>Amphibian breeding results from all three visits (2023 and</w:t>
            </w:r>
            <w:r>
              <w:rPr>
                <w:rFonts w:cstheme="minorHAnsi"/>
                <w:lang w:val="en-US"/>
              </w:rPr>
              <w:t xml:space="preserve"> 2024) have been updated in Section 4.7.2 and Table 9. </w:t>
            </w:r>
            <w:r>
              <w:rPr>
                <w:rFonts w:cstheme="minorHAnsi"/>
              </w:rPr>
              <w:t>Based on these results, the defining criter</w:t>
            </w:r>
            <w:r w:rsidRPr="00A67CAF">
              <w:rPr>
                <w:rFonts w:cstheme="minorHAnsi"/>
              </w:rPr>
              <w:t>ia for amphibian breeding SWH</w:t>
            </w:r>
            <w:r>
              <w:rPr>
                <w:rFonts w:cstheme="minorHAnsi"/>
              </w:rPr>
              <w:t xml:space="preserve"> was not met at either station which requires two species with a call level code of </w:t>
            </w:r>
            <w:proofErr w:type="gramStart"/>
            <w:r>
              <w:rPr>
                <w:rFonts w:cstheme="minorHAnsi"/>
              </w:rPr>
              <w:t>3, or</w:t>
            </w:r>
            <w:proofErr w:type="gramEnd"/>
            <w:r>
              <w:rPr>
                <w:rFonts w:cstheme="minorHAnsi"/>
              </w:rPr>
              <w:t xml:space="preserve"> call level code of 2 with at least twenty individuals.</w:t>
            </w:r>
          </w:p>
        </w:tc>
      </w:tr>
      <w:tr w:rsidR="00296360" w:rsidRPr="00F752AE" w14:paraId="3237D002" w14:textId="77777777" w:rsidTr="009E6D92">
        <w:tc>
          <w:tcPr>
            <w:tcW w:w="560" w:type="dxa"/>
            <w:shd w:val="clear" w:color="auto" w:fill="F2F8EE"/>
            <w:vAlign w:val="center"/>
          </w:tcPr>
          <w:p w14:paraId="23C44FBF" w14:textId="77777777" w:rsidR="00296360" w:rsidRPr="00F752AE" w:rsidRDefault="00296360" w:rsidP="00296360">
            <w:pPr>
              <w:rPr>
                <w:rFonts w:cstheme="minorHAnsi"/>
                <w:lang w:val="en-US"/>
              </w:rPr>
            </w:pPr>
            <w:r w:rsidRPr="00F752AE">
              <w:rPr>
                <w:rFonts w:cstheme="minorHAnsi"/>
                <w:lang w:val="en-US"/>
              </w:rPr>
              <w:lastRenderedPageBreak/>
              <w:t>2</w:t>
            </w:r>
          </w:p>
        </w:tc>
        <w:tc>
          <w:tcPr>
            <w:tcW w:w="8795" w:type="dxa"/>
            <w:shd w:val="clear" w:color="auto" w:fill="F2F8EE"/>
            <w:vAlign w:val="center"/>
          </w:tcPr>
          <w:p w14:paraId="3A12FE58" w14:textId="77777777" w:rsidR="00296360" w:rsidRDefault="00296360" w:rsidP="00296360">
            <w:pPr>
              <w:rPr>
                <w:rFonts w:cstheme="minorHAnsi"/>
                <w:lang w:val="en-US"/>
              </w:rPr>
            </w:pPr>
            <w:r>
              <w:rPr>
                <w:rFonts w:cstheme="minorHAnsi"/>
                <w:lang w:val="en-US"/>
              </w:rPr>
              <w:t>Page 6 of 8</w:t>
            </w:r>
          </w:p>
          <w:p w14:paraId="14B70893" w14:textId="05B446BF" w:rsidR="00296360" w:rsidRPr="00F752AE" w:rsidRDefault="00296360" w:rsidP="00296360">
            <w:pPr>
              <w:rPr>
                <w:rFonts w:cstheme="minorHAnsi"/>
                <w:lang w:val="en-US"/>
              </w:rPr>
            </w:pPr>
            <w:r w:rsidRPr="00296360">
              <w:rPr>
                <w:rFonts w:cstheme="minorHAnsi"/>
              </w:rPr>
              <w:t xml:space="preserve">General discussion on erosion and sediment control (ESC) measures were included in the report; however, </w:t>
            </w:r>
            <w:r w:rsidRPr="00296360">
              <w:rPr>
                <w:rFonts w:cstheme="minorHAnsi"/>
                <w:b/>
                <w:bCs/>
              </w:rPr>
              <w:t>Stantec recommends to the County that an ESC plan be prepared prior to construction either as part of the KCA permitting or included with the Site Plan.</w:t>
            </w:r>
          </w:p>
        </w:tc>
        <w:tc>
          <w:tcPr>
            <w:tcW w:w="1208" w:type="dxa"/>
            <w:shd w:val="clear" w:color="auto" w:fill="F2F8EE"/>
            <w:vAlign w:val="center"/>
          </w:tcPr>
          <w:p w14:paraId="4CD0A8B9" w14:textId="25A9A4BB"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7BE59952" w14:textId="7C3C8F15" w:rsidR="00296360" w:rsidRPr="00F752AE" w:rsidRDefault="00980BF9" w:rsidP="00296360">
            <w:pPr>
              <w:rPr>
                <w:rFonts w:cstheme="minorHAnsi"/>
                <w:lang w:val="en-US"/>
              </w:rPr>
            </w:pPr>
            <w:r w:rsidRPr="0009553A">
              <w:rPr>
                <w:rFonts w:cstheme="minorHAnsi"/>
                <w:lang w:val="en-US"/>
              </w:rPr>
              <w:t>Noted and agree. See recommendations in Section 7.0.</w:t>
            </w:r>
          </w:p>
        </w:tc>
      </w:tr>
      <w:tr w:rsidR="00296360" w:rsidRPr="00F752AE" w14:paraId="5A9C5310" w14:textId="77777777" w:rsidTr="009E6D92">
        <w:tc>
          <w:tcPr>
            <w:tcW w:w="560" w:type="dxa"/>
            <w:shd w:val="clear" w:color="auto" w:fill="F2F8EE"/>
            <w:vAlign w:val="center"/>
          </w:tcPr>
          <w:p w14:paraId="2233A1E3" w14:textId="77777777" w:rsidR="00296360" w:rsidRPr="00F752AE" w:rsidRDefault="00296360" w:rsidP="00296360">
            <w:pPr>
              <w:rPr>
                <w:rFonts w:cstheme="minorHAnsi"/>
                <w:lang w:val="en-US"/>
              </w:rPr>
            </w:pPr>
            <w:r w:rsidRPr="00F752AE">
              <w:rPr>
                <w:rFonts w:cstheme="minorHAnsi"/>
                <w:lang w:val="en-US"/>
              </w:rPr>
              <w:t>3</w:t>
            </w:r>
          </w:p>
        </w:tc>
        <w:tc>
          <w:tcPr>
            <w:tcW w:w="8795" w:type="dxa"/>
            <w:shd w:val="clear" w:color="auto" w:fill="F2F8EE"/>
            <w:vAlign w:val="center"/>
          </w:tcPr>
          <w:p w14:paraId="700AB984" w14:textId="77777777" w:rsidR="00296360" w:rsidRDefault="00296360" w:rsidP="00296360">
            <w:pPr>
              <w:rPr>
                <w:rFonts w:cstheme="minorHAnsi"/>
                <w:lang w:val="en-US"/>
              </w:rPr>
            </w:pPr>
            <w:r>
              <w:rPr>
                <w:rFonts w:cstheme="minorHAnsi"/>
                <w:lang w:val="en-US"/>
              </w:rPr>
              <w:t>Page 6 of 8</w:t>
            </w:r>
          </w:p>
          <w:p w14:paraId="057CC7E7" w14:textId="667BFCA1" w:rsidR="00296360" w:rsidRPr="00F752AE" w:rsidRDefault="00296360" w:rsidP="00296360">
            <w:pPr>
              <w:rPr>
                <w:rFonts w:cstheme="minorHAnsi"/>
                <w:lang w:val="en-US"/>
              </w:rPr>
            </w:pPr>
            <w:r w:rsidRPr="00296360">
              <w:rPr>
                <w:rFonts w:cstheme="minorHAnsi"/>
              </w:rPr>
              <w:t>It was noted in Section 4.10.1.6 (Black Ash) that: “</w:t>
            </w:r>
            <w:r w:rsidRPr="00296360">
              <w:rPr>
                <w:rFonts w:cstheme="minorHAnsi"/>
                <w:i/>
                <w:iCs/>
              </w:rPr>
              <w:t>This species was documented during vegetation surveys in Community 7. No impacts are proposed to Community 7 from the proposed development</w:t>
            </w:r>
            <w:r w:rsidRPr="00296360">
              <w:rPr>
                <w:rFonts w:cstheme="minorHAnsi"/>
              </w:rPr>
              <w:t xml:space="preserve">.” Recent guidance from the MECP has indicated that a radial distance of 30 metres around the stem of a protected Black Ash tree that represents the tree’s habitat as described in O. Reg. 832/21. </w:t>
            </w:r>
            <w:r w:rsidRPr="00296360">
              <w:rPr>
                <w:rFonts w:cstheme="minorHAnsi"/>
                <w:b/>
                <w:bCs/>
              </w:rPr>
              <w:t>It is recommended that Cambium determine whether ESA section 10(1)(a) prohibitions apply to Black Ash trees located on the site.</w:t>
            </w:r>
          </w:p>
        </w:tc>
        <w:tc>
          <w:tcPr>
            <w:tcW w:w="1208" w:type="dxa"/>
            <w:shd w:val="clear" w:color="auto" w:fill="F2F8EE"/>
            <w:vAlign w:val="center"/>
          </w:tcPr>
          <w:p w14:paraId="1F0D9C79" w14:textId="78216861"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2EFE5A53" w14:textId="77777777" w:rsidR="00980BF9" w:rsidRDefault="00980BF9" w:rsidP="00980BF9">
            <w:pPr>
              <w:rPr>
                <w:rFonts w:cstheme="minorHAnsi"/>
                <w:lang w:val="en-US"/>
              </w:rPr>
            </w:pPr>
            <w:r w:rsidRPr="001A19F4">
              <w:rPr>
                <w:rFonts w:cstheme="minorHAnsi"/>
                <w:lang w:val="en-US"/>
              </w:rPr>
              <w:t>No Black Ash will be directly impacted from the proposed development as Community 7</w:t>
            </w:r>
            <w:r>
              <w:rPr>
                <w:rFonts w:cstheme="minorHAnsi"/>
                <w:lang w:val="en-US"/>
              </w:rPr>
              <w:t xml:space="preserve"> </w:t>
            </w:r>
            <w:r w:rsidRPr="001A19F4">
              <w:rPr>
                <w:rFonts w:cstheme="minorHAnsi"/>
                <w:lang w:val="en-US"/>
              </w:rPr>
              <w:t>/</w:t>
            </w:r>
            <w:r>
              <w:rPr>
                <w:rFonts w:cstheme="minorHAnsi"/>
                <w:lang w:val="en-US"/>
              </w:rPr>
              <w:t xml:space="preserve"> </w:t>
            </w:r>
            <w:r w:rsidRPr="001A19F4">
              <w:rPr>
                <w:rFonts w:cstheme="minorHAnsi"/>
                <w:lang w:val="en-US"/>
              </w:rPr>
              <w:t>Wetland 1</w:t>
            </w:r>
            <w:r>
              <w:rPr>
                <w:rFonts w:cstheme="minorHAnsi"/>
                <w:lang w:val="en-US"/>
              </w:rPr>
              <w:t xml:space="preserve"> (i.e., where</w:t>
            </w:r>
            <w:r w:rsidRPr="001A19F4">
              <w:rPr>
                <w:rFonts w:cstheme="minorHAnsi"/>
                <w:lang w:val="en-US"/>
              </w:rPr>
              <w:t xml:space="preserve"> they were documented</w:t>
            </w:r>
            <w:r>
              <w:rPr>
                <w:rFonts w:cstheme="minorHAnsi"/>
                <w:lang w:val="en-US"/>
              </w:rPr>
              <w:t>)</w:t>
            </w:r>
            <w:r w:rsidRPr="001A19F4">
              <w:rPr>
                <w:rFonts w:cstheme="minorHAnsi"/>
                <w:lang w:val="en-US"/>
              </w:rPr>
              <w:t xml:space="preserve"> will be retained and buffered by a 30 m setback (see Figure 3).</w:t>
            </w:r>
          </w:p>
          <w:p w14:paraId="1322C066" w14:textId="77777777" w:rsidR="00296360" w:rsidRDefault="00296360" w:rsidP="00296360">
            <w:pPr>
              <w:rPr>
                <w:rFonts w:cstheme="minorHAnsi"/>
                <w:lang w:val="en-US"/>
              </w:rPr>
            </w:pPr>
          </w:p>
          <w:p w14:paraId="373BD27C" w14:textId="77777777" w:rsidR="00980BF9" w:rsidRDefault="00980BF9" w:rsidP="00980BF9">
            <w:pPr>
              <w:rPr>
                <w:rFonts w:cstheme="minorHAnsi"/>
                <w:lang w:val="en-US"/>
              </w:rPr>
            </w:pPr>
            <w:r w:rsidRPr="001A19F4">
              <w:rPr>
                <w:rFonts w:cstheme="minorHAnsi"/>
                <w:lang w:val="en-US"/>
              </w:rPr>
              <w:t>A t</w:t>
            </w:r>
            <w:r w:rsidRPr="00DE1A02">
              <w:rPr>
                <w:rFonts w:cstheme="minorHAnsi"/>
                <w:lang w:val="en-US"/>
              </w:rPr>
              <w:t xml:space="preserve">ree inventory and health assessment of Black Ash was not </w:t>
            </w:r>
            <w:proofErr w:type="gramStart"/>
            <w:r w:rsidRPr="00DE1A02">
              <w:rPr>
                <w:rFonts w:cstheme="minorHAnsi"/>
                <w:lang w:val="en-US"/>
              </w:rPr>
              <w:t>completed</w:t>
            </w:r>
            <w:proofErr w:type="gramEnd"/>
            <w:r w:rsidRPr="00DE1A02">
              <w:rPr>
                <w:rFonts w:cstheme="minorHAnsi"/>
                <w:lang w:val="en-US"/>
              </w:rPr>
              <w:t xml:space="preserve"> given the policy framework in place at the time of the investigation and is not re</w:t>
            </w:r>
            <w:r>
              <w:rPr>
                <w:rFonts w:cstheme="minorHAnsi"/>
                <w:lang w:val="en-US"/>
              </w:rPr>
              <w:t>commended</w:t>
            </w:r>
            <w:r w:rsidRPr="00DE1A02">
              <w:rPr>
                <w:rFonts w:cstheme="minorHAnsi"/>
                <w:lang w:val="en-US"/>
              </w:rPr>
              <w:t xml:space="preserve"> based on the development setback that has been proposed</w:t>
            </w:r>
            <w:r>
              <w:rPr>
                <w:rFonts w:cstheme="minorHAnsi"/>
                <w:lang w:val="en-US"/>
              </w:rPr>
              <w:t xml:space="preserve">. </w:t>
            </w:r>
          </w:p>
          <w:p w14:paraId="0D06B930" w14:textId="77777777" w:rsidR="00980BF9" w:rsidRDefault="00980BF9" w:rsidP="00980BF9">
            <w:pPr>
              <w:rPr>
                <w:rFonts w:cstheme="minorHAnsi"/>
                <w:lang w:val="en-US"/>
              </w:rPr>
            </w:pPr>
          </w:p>
          <w:p w14:paraId="6838803B" w14:textId="55FB2D9E" w:rsidR="00980BF9" w:rsidRPr="00F752AE" w:rsidRDefault="00980BF9" w:rsidP="00980BF9">
            <w:pPr>
              <w:rPr>
                <w:rFonts w:cstheme="minorHAnsi"/>
                <w:lang w:val="en-US"/>
              </w:rPr>
            </w:pPr>
            <w:r>
              <w:rPr>
                <w:rFonts w:cstheme="minorHAnsi"/>
                <w:lang w:val="en-US"/>
              </w:rPr>
              <w:t xml:space="preserve">The development can therefore be carried out in a manner that does not </w:t>
            </w:r>
            <w:r w:rsidRPr="00DE1A02">
              <w:rPr>
                <w:rFonts w:cstheme="minorHAnsi"/>
                <w:lang w:val="en-US"/>
              </w:rPr>
              <w:t>impact</w:t>
            </w:r>
            <w:r>
              <w:rPr>
                <w:rFonts w:cstheme="minorHAnsi"/>
                <w:lang w:val="en-US"/>
              </w:rPr>
              <w:t xml:space="preserve"> Black Ash</w:t>
            </w:r>
            <w:r w:rsidRPr="00DE1A02">
              <w:rPr>
                <w:rFonts w:cstheme="minorHAnsi"/>
                <w:lang w:val="en-US"/>
              </w:rPr>
              <w:t xml:space="preserve"> or impair the function of their habitats that are afforded protection under Sections 9(1) and 10(1) of the Endangered Species Act, 2007.</w:t>
            </w:r>
          </w:p>
        </w:tc>
      </w:tr>
      <w:tr w:rsidR="00296360" w:rsidRPr="00F752AE" w14:paraId="43E0D99D" w14:textId="77777777" w:rsidTr="009E6D92">
        <w:tc>
          <w:tcPr>
            <w:tcW w:w="560" w:type="dxa"/>
            <w:shd w:val="clear" w:color="auto" w:fill="F2F8EE"/>
            <w:vAlign w:val="center"/>
          </w:tcPr>
          <w:p w14:paraId="3A2B81C7" w14:textId="77777777" w:rsidR="00296360" w:rsidRPr="00F752AE" w:rsidRDefault="00296360" w:rsidP="00296360">
            <w:pPr>
              <w:rPr>
                <w:rFonts w:cstheme="minorHAnsi"/>
                <w:lang w:val="en-US"/>
              </w:rPr>
            </w:pPr>
            <w:r w:rsidRPr="00F752AE">
              <w:rPr>
                <w:rFonts w:cstheme="minorHAnsi"/>
                <w:lang w:val="en-US"/>
              </w:rPr>
              <w:t>4</w:t>
            </w:r>
          </w:p>
        </w:tc>
        <w:tc>
          <w:tcPr>
            <w:tcW w:w="8795" w:type="dxa"/>
            <w:shd w:val="clear" w:color="auto" w:fill="F2F8EE"/>
            <w:vAlign w:val="center"/>
          </w:tcPr>
          <w:p w14:paraId="3D979A1C" w14:textId="77777777" w:rsidR="00296360" w:rsidRDefault="00296360" w:rsidP="00296360">
            <w:pPr>
              <w:rPr>
                <w:rFonts w:cstheme="minorHAnsi"/>
                <w:lang w:val="en-US"/>
              </w:rPr>
            </w:pPr>
            <w:r>
              <w:rPr>
                <w:rFonts w:cstheme="minorHAnsi"/>
                <w:lang w:val="en-US"/>
              </w:rPr>
              <w:t>Page 7 of 8</w:t>
            </w:r>
          </w:p>
          <w:p w14:paraId="7BFFF40B" w14:textId="77777777" w:rsidR="00296360" w:rsidRDefault="00296360" w:rsidP="00296360">
            <w:pPr>
              <w:rPr>
                <w:rFonts w:cstheme="minorHAnsi"/>
              </w:rPr>
            </w:pPr>
            <w:r w:rsidRPr="00296360">
              <w:rPr>
                <w:rFonts w:cstheme="minorHAnsi"/>
              </w:rPr>
              <w:t xml:space="preserve">Regarding bats (including SAR species) Section 4.7 (Bat Acoustic Monitoring) indicated that guidance from the MECP stating </w:t>
            </w:r>
            <w:r w:rsidRPr="00296360">
              <w:rPr>
                <w:rFonts w:cstheme="minorHAnsi"/>
                <w:i/>
                <w:iCs/>
              </w:rPr>
              <w:t>“If a proposed activity will avoid impairing or eliminating the function of habitat for supporting bat life processes (e.g. remove, stub, etc. a small number of potential maternity or day roost trees in treed habitats) but the timing of tree removal will avoid the bat active season (April 1 – September 30 in Southern Ontario / May 1 to August 31 in Northern Ontario), then there is no need to conduct species at risk bat surveys of treed habitats. The damage and destruction assessment may vary geographically as the availability of other nearby maternity and day roost trees differs across the province of Ontario.</w:t>
            </w:r>
            <w:r w:rsidRPr="00296360">
              <w:rPr>
                <w:rFonts w:cstheme="minorHAnsi"/>
              </w:rPr>
              <w:t>” While Stantec does not disagree with this conclusion, we note bats protected under the ESA are the jurisdiction of MECP. As such, we recommend consultation with MECP to confirm if authorization under the ESA is required for removal of forested habitats.</w:t>
            </w:r>
          </w:p>
          <w:p w14:paraId="25423BF7" w14:textId="77777777" w:rsidR="00296360" w:rsidRDefault="00296360" w:rsidP="00296360">
            <w:pPr>
              <w:rPr>
                <w:rFonts w:cstheme="minorHAnsi"/>
              </w:rPr>
            </w:pPr>
          </w:p>
          <w:p w14:paraId="321E7786" w14:textId="790330D8" w:rsidR="00296360" w:rsidRPr="00F752AE" w:rsidRDefault="00296360" w:rsidP="00296360">
            <w:pPr>
              <w:rPr>
                <w:rFonts w:cstheme="minorHAnsi"/>
                <w:lang w:val="en-US"/>
              </w:rPr>
            </w:pPr>
            <w:r w:rsidRPr="00296360">
              <w:rPr>
                <w:rFonts w:cstheme="minorHAnsi"/>
              </w:rPr>
              <w:lastRenderedPageBreak/>
              <w:t>Furthermore, the EIS indicated: “</w:t>
            </w:r>
            <w:r w:rsidRPr="00296360">
              <w:rPr>
                <w:rFonts w:cstheme="minorHAnsi"/>
                <w:i/>
                <w:iCs/>
              </w:rPr>
              <w:t>Given that the proposed tree removals will be minor, utilization by SAR bats is low, and extensive habitat will remain on the landscape in the immediate vicinity, we are of the opinion that impacts to SAR bats can be avoided provided clearing activities occur during the appropriate timing window (i.e., clearing to occur between October 1st and March 31st). A summary of recommendation mitigation is provided in Section 7.0</w:t>
            </w:r>
            <w:r w:rsidRPr="00296360">
              <w:rPr>
                <w:rFonts w:cstheme="minorHAnsi"/>
              </w:rPr>
              <w:t>.” As stated above, consultation with MECP is recommended to confirm they agree with this conclusion.</w:t>
            </w:r>
          </w:p>
        </w:tc>
        <w:tc>
          <w:tcPr>
            <w:tcW w:w="1208" w:type="dxa"/>
            <w:shd w:val="clear" w:color="auto" w:fill="F2F8EE"/>
            <w:vAlign w:val="center"/>
          </w:tcPr>
          <w:p w14:paraId="55DC2D6A" w14:textId="34AE5843" w:rsidR="00296360" w:rsidRPr="00F752AE" w:rsidRDefault="00980BF9" w:rsidP="00296360">
            <w:pPr>
              <w:jc w:val="center"/>
              <w:rPr>
                <w:rFonts w:cstheme="minorHAnsi"/>
                <w:lang w:val="en-US"/>
              </w:rPr>
            </w:pPr>
            <w:r>
              <w:rPr>
                <w:rFonts w:cstheme="minorHAnsi"/>
                <w:lang w:val="en-US"/>
              </w:rPr>
              <w:lastRenderedPageBreak/>
              <w:t>Cambium</w:t>
            </w:r>
          </w:p>
        </w:tc>
        <w:tc>
          <w:tcPr>
            <w:tcW w:w="3922" w:type="dxa"/>
            <w:shd w:val="clear" w:color="auto" w:fill="F2F8EE"/>
            <w:vAlign w:val="center"/>
          </w:tcPr>
          <w:p w14:paraId="2F9802E1" w14:textId="77777777" w:rsidR="00296360" w:rsidRDefault="00980BF9" w:rsidP="00296360">
            <w:pPr>
              <w:rPr>
                <w:rFonts w:cstheme="minorHAnsi"/>
                <w:lang w:val="en-US"/>
              </w:rPr>
            </w:pPr>
            <w:r>
              <w:t xml:space="preserve">Guidance from MECP outlines that </w:t>
            </w:r>
            <w:r w:rsidRPr="00754A16">
              <w:rPr>
                <w:i/>
                <w:iCs/>
              </w:rPr>
              <w:t>“</w:t>
            </w:r>
            <w:bookmarkStart w:id="1" w:name="_Hlk150768581"/>
            <w:r w:rsidRPr="00754A16">
              <w:rPr>
                <w:i/>
                <w:iCs/>
              </w:rPr>
              <w:t>if a proposed activity will avoid impairing or eliminating the function of habitat for supporting bat life processes (e.g. remove, stub, etc. a small number of potential maternity or day roost trees in treed habitats) but the timing of tree removal will avoid the bat active season (April 1 – September 30 in Southern Ontario / May 1 to August 31 in Northern Ontario), then there is no need to conduct species at risk bat surveys of treed habitats”.</w:t>
            </w:r>
            <w:r w:rsidRPr="00C078A0">
              <w:t xml:space="preserve"> </w:t>
            </w:r>
            <w:bookmarkEnd w:id="1"/>
            <w:r w:rsidRPr="003140FF">
              <w:rPr>
                <w:rFonts w:cstheme="minorHAnsi"/>
                <w:lang w:val="en-US"/>
              </w:rPr>
              <w:t xml:space="preserve">Based on our </w:t>
            </w:r>
            <w:r w:rsidRPr="003140FF">
              <w:rPr>
                <w:rFonts w:cstheme="minorHAnsi"/>
                <w:lang w:val="en-US"/>
              </w:rPr>
              <w:lastRenderedPageBreak/>
              <w:t xml:space="preserve">assessment of </w:t>
            </w:r>
            <w:r>
              <w:rPr>
                <w:rFonts w:cstheme="minorHAnsi"/>
                <w:lang w:val="en-US"/>
              </w:rPr>
              <w:t>the bat maternity roosting survey and bat acoustic monitoring results</w:t>
            </w:r>
            <w:r w:rsidRPr="003140FF">
              <w:rPr>
                <w:rFonts w:cstheme="minorHAnsi"/>
                <w:lang w:val="en-US"/>
              </w:rPr>
              <w:t xml:space="preserve">, and provided </w:t>
            </w:r>
            <w:proofErr w:type="gramStart"/>
            <w:r w:rsidRPr="003140FF">
              <w:rPr>
                <w:rFonts w:cstheme="minorHAnsi"/>
                <w:lang w:val="en-US"/>
              </w:rPr>
              <w:t>that recommendations</w:t>
            </w:r>
            <w:proofErr w:type="gramEnd"/>
            <w:r w:rsidRPr="003140FF">
              <w:rPr>
                <w:rFonts w:cstheme="minorHAnsi"/>
                <w:lang w:val="en-US"/>
              </w:rPr>
              <w:t xml:space="preserve"> identified </w:t>
            </w:r>
            <w:r>
              <w:rPr>
                <w:rFonts w:cstheme="minorHAnsi"/>
                <w:lang w:val="en-US"/>
              </w:rPr>
              <w:t xml:space="preserve">within Section 7.0 of the EIS, Cambium is of the opinion that the proposed development </w:t>
            </w:r>
            <w:r w:rsidRPr="003140FF">
              <w:rPr>
                <w:rFonts w:cstheme="minorHAnsi"/>
                <w:lang w:val="en-US"/>
              </w:rPr>
              <w:t>can be carried out in a manner that does not impact SAR</w:t>
            </w:r>
            <w:r>
              <w:rPr>
                <w:rFonts w:cstheme="minorHAnsi"/>
                <w:lang w:val="en-US"/>
              </w:rPr>
              <w:t xml:space="preserve"> bats</w:t>
            </w:r>
            <w:r w:rsidRPr="003140FF">
              <w:rPr>
                <w:rFonts w:cstheme="minorHAnsi"/>
                <w:lang w:val="en-US"/>
              </w:rPr>
              <w:t xml:space="preserve"> or impair the function of their habitats that are afforded protection under Sections 9(1)</w:t>
            </w:r>
          </w:p>
          <w:p w14:paraId="7AC71E43" w14:textId="75B3408F" w:rsidR="00980BF9" w:rsidRPr="00F752AE" w:rsidRDefault="00980BF9" w:rsidP="00296360">
            <w:pPr>
              <w:rPr>
                <w:rFonts w:cstheme="minorHAnsi"/>
                <w:lang w:val="en-US"/>
              </w:rPr>
            </w:pPr>
            <w:r w:rsidRPr="003140FF">
              <w:rPr>
                <w:rFonts w:cstheme="minorHAnsi"/>
                <w:lang w:val="en-US"/>
              </w:rPr>
              <w:t>and 10(1) of the Endangered Species Act, 2007.</w:t>
            </w:r>
            <w:r>
              <w:rPr>
                <w:rFonts w:cstheme="minorHAnsi"/>
                <w:lang w:val="en-US"/>
              </w:rPr>
              <w:t xml:space="preserve"> Given the low potential for utilization, and </w:t>
            </w:r>
            <w:proofErr w:type="gramStart"/>
            <w:r>
              <w:rPr>
                <w:rFonts w:cstheme="minorHAnsi"/>
                <w:lang w:val="en-US"/>
              </w:rPr>
              <w:t>subsequently</w:t>
            </w:r>
            <w:proofErr w:type="gramEnd"/>
            <w:r>
              <w:rPr>
                <w:rFonts w:cstheme="minorHAnsi"/>
                <w:lang w:val="en-US"/>
              </w:rPr>
              <w:t xml:space="preserve"> impacts, </w:t>
            </w:r>
            <w:r w:rsidRPr="00D555A5">
              <w:rPr>
                <w:rFonts w:cstheme="minorHAnsi"/>
                <w:lang w:val="en-US"/>
              </w:rPr>
              <w:t xml:space="preserve">Cambium is of the </w:t>
            </w:r>
            <w:r>
              <w:rPr>
                <w:rFonts w:cstheme="minorHAnsi"/>
                <w:lang w:val="en-US"/>
              </w:rPr>
              <w:t>opinion that consultation with MECP regarding SAR bats is not necessary in this situation.</w:t>
            </w:r>
          </w:p>
        </w:tc>
      </w:tr>
      <w:tr w:rsidR="00296360" w:rsidRPr="00F752AE" w14:paraId="760B0976" w14:textId="77777777" w:rsidTr="009E6D92">
        <w:tc>
          <w:tcPr>
            <w:tcW w:w="560" w:type="dxa"/>
            <w:shd w:val="clear" w:color="auto" w:fill="F2F8EE"/>
            <w:vAlign w:val="center"/>
          </w:tcPr>
          <w:p w14:paraId="24093DD2" w14:textId="77777777" w:rsidR="00296360" w:rsidRPr="00F752AE" w:rsidRDefault="00296360" w:rsidP="00296360">
            <w:pPr>
              <w:rPr>
                <w:rFonts w:cstheme="minorHAnsi"/>
                <w:lang w:val="en-US"/>
              </w:rPr>
            </w:pPr>
            <w:r w:rsidRPr="00F752AE">
              <w:rPr>
                <w:rFonts w:cstheme="minorHAnsi"/>
                <w:lang w:val="en-US"/>
              </w:rPr>
              <w:lastRenderedPageBreak/>
              <w:t>5</w:t>
            </w:r>
          </w:p>
        </w:tc>
        <w:tc>
          <w:tcPr>
            <w:tcW w:w="8795" w:type="dxa"/>
            <w:shd w:val="clear" w:color="auto" w:fill="F2F8EE"/>
            <w:vAlign w:val="center"/>
          </w:tcPr>
          <w:p w14:paraId="0A75BE91" w14:textId="77777777" w:rsidR="00296360" w:rsidRDefault="00296360" w:rsidP="00296360">
            <w:pPr>
              <w:rPr>
                <w:rFonts w:cstheme="minorHAnsi"/>
                <w:lang w:val="en-US"/>
              </w:rPr>
            </w:pPr>
            <w:r>
              <w:rPr>
                <w:rFonts w:cstheme="minorHAnsi"/>
                <w:lang w:val="en-US"/>
              </w:rPr>
              <w:t>Page 7 of 8</w:t>
            </w:r>
          </w:p>
          <w:p w14:paraId="291E1229" w14:textId="621C69F6" w:rsidR="00296360" w:rsidRPr="00F752AE" w:rsidRDefault="00296360" w:rsidP="00296360">
            <w:pPr>
              <w:rPr>
                <w:rFonts w:cstheme="minorHAnsi"/>
                <w:lang w:val="en-US"/>
              </w:rPr>
            </w:pPr>
            <w:r w:rsidRPr="00296360">
              <w:rPr>
                <w:rFonts w:cstheme="minorHAnsi"/>
              </w:rPr>
              <w:t xml:space="preserve">Wildlife exclusion fencing should be installed to prevent turtles in Pond 4 from entering the construction site. Should SWM ponds be installed, mitigation measures should be implemented to prevent turtles from entering the pond. Table 14 indicates that “Sediment fencing can function as wildlife exclusion fencing.” </w:t>
            </w:r>
            <w:r w:rsidRPr="00296360">
              <w:rPr>
                <w:rFonts w:cstheme="minorHAnsi"/>
                <w:b/>
                <w:bCs/>
              </w:rPr>
              <w:t xml:space="preserve">Stantec disagrees with this statement as support stakes/T-bars, etc., are installed on the opposite side to be an effective wildlife exclusion barrier and will potentially compromise the intended use. A layer of sediment fence and a layer of exclusion fencing should be installed. </w:t>
            </w:r>
          </w:p>
        </w:tc>
        <w:tc>
          <w:tcPr>
            <w:tcW w:w="1208" w:type="dxa"/>
            <w:shd w:val="clear" w:color="auto" w:fill="F2F8EE"/>
            <w:vAlign w:val="center"/>
          </w:tcPr>
          <w:p w14:paraId="01AB7E79" w14:textId="1F7CC21B"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2B1F97B0" w14:textId="3DE25991" w:rsidR="00296360" w:rsidRPr="00F752AE" w:rsidRDefault="00980BF9" w:rsidP="00296360">
            <w:pPr>
              <w:rPr>
                <w:rFonts w:cstheme="minorHAnsi"/>
                <w:lang w:val="en-US"/>
              </w:rPr>
            </w:pPr>
            <w:r>
              <w:rPr>
                <w:rFonts w:cstheme="minorHAnsi"/>
                <w:lang w:val="en-US"/>
              </w:rPr>
              <w:t xml:space="preserve">Noted. Installation of </w:t>
            </w:r>
            <w:bookmarkStart w:id="2" w:name="_Hlk184986776"/>
            <w:r>
              <w:rPr>
                <w:rFonts w:cstheme="minorHAnsi"/>
                <w:lang w:val="en-US"/>
              </w:rPr>
              <w:t>wildlife specific exclusion fencing can be installed surrounding Pond 5 to prevent turtles from entering the Site during construction</w:t>
            </w:r>
            <w:bookmarkEnd w:id="2"/>
            <w:r>
              <w:rPr>
                <w:rFonts w:cstheme="minorHAnsi"/>
                <w:lang w:val="en-US"/>
              </w:rPr>
              <w:t>, as per industry standards. Recommendations have been updated in the EIS accordingly.</w:t>
            </w:r>
          </w:p>
        </w:tc>
      </w:tr>
      <w:tr w:rsidR="00296360" w:rsidRPr="00F752AE" w14:paraId="344BC50D" w14:textId="77777777" w:rsidTr="009E6D92">
        <w:tc>
          <w:tcPr>
            <w:tcW w:w="560" w:type="dxa"/>
            <w:shd w:val="clear" w:color="auto" w:fill="F2F8EE"/>
            <w:vAlign w:val="center"/>
          </w:tcPr>
          <w:p w14:paraId="2076F280" w14:textId="77777777" w:rsidR="00296360" w:rsidRPr="00F752AE" w:rsidRDefault="00296360" w:rsidP="00296360">
            <w:pPr>
              <w:rPr>
                <w:rFonts w:cstheme="minorHAnsi"/>
                <w:lang w:val="en-US"/>
              </w:rPr>
            </w:pPr>
            <w:r w:rsidRPr="00F752AE">
              <w:rPr>
                <w:rFonts w:cstheme="minorHAnsi"/>
                <w:lang w:val="en-US"/>
              </w:rPr>
              <w:t>6</w:t>
            </w:r>
          </w:p>
        </w:tc>
        <w:tc>
          <w:tcPr>
            <w:tcW w:w="8795" w:type="dxa"/>
            <w:shd w:val="clear" w:color="auto" w:fill="F2F8EE"/>
            <w:vAlign w:val="center"/>
          </w:tcPr>
          <w:p w14:paraId="7719DF6D" w14:textId="77777777" w:rsidR="00296360" w:rsidRDefault="00296360" w:rsidP="00296360">
            <w:pPr>
              <w:rPr>
                <w:rFonts w:cstheme="minorHAnsi"/>
                <w:lang w:val="en-US"/>
              </w:rPr>
            </w:pPr>
            <w:r>
              <w:rPr>
                <w:rFonts w:cstheme="minorHAnsi"/>
                <w:lang w:val="en-US"/>
              </w:rPr>
              <w:t>Page 7 of 8</w:t>
            </w:r>
          </w:p>
          <w:p w14:paraId="0E41CB14" w14:textId="369D495E" w:rsidR="00296360" w:rsidRPr="00F752AE" w:rsidRDefault="00296360" w:rsidP="00296360">
            <w:pPr>
              <w:rPr>
                <w:rFonts w:cstheme="minorHAnsi"/>
                <w:lang w:val="en-US"/>
              </w:rPr>
            </w:pPr>
            <w:r w:rsidRPr="00296360">
              <w:rPr>
                <w:rFonts w:cstheme="minorHAnsi"/>
                <w:b/>
                <w:bCs/>
              </w:rPr>
              <w:t xml:space="preserve">Please note that since Eastern Meadowlark was identified on the property, any disturbance within the grassland habitat must not occur between May 1 and July 31. </w:t>
            </w:r>
          </w:p>
        </w:tc>
        <w:tc>
          <w:tcPr>
            <w:tcW w:w="1208" w:type="dxa"/>
            <w:shd w:val="clear" w:color="auto" w:fill="F2F8EE"/>
            <w:vAlign w:val="center"/>
          </w:tcPr>
          <w:p w14:paraId="0D18890C" w14:textId="102F4F64"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014E4F7B" w14:textId="2B89A2AC" w:rsidR="00296360" w:rsidRPr="00F752AE" w:rsidRDefault="00980BF9" w:rsidP="00296360">
            <w:pPr>
              <w:rPr>
                <w:rFonts w:cstheme="minorHAnsi"/>
                <w:lang w:val="en-US"/>
              </w:rPr>
            </w:pPr>
            <w:r>
              <w:rPr>
                <w:rFonts w:cstheme="minorHAnsi"/>
                <w:lang w:val="en-US"/>
              </w:rPr>
              <w:t>Noted and agree.</w:t>
            </w:r>
          </w:p>
        </w:tc>
      </w:tr>
      <w:tr w:rsidR="00296360" w:rsidRPr="00F752AE" w14:paraId="78351954" w14:textId="77777777" w:rsidTr="009E6D92">
        <w:tc>
          <w:tcPr>
            <w:tcW w:w="560" w:type="dxa"/>
            <w:shd w:val="clear" w:color="auto" w:fill="F2F8EE"/>
            <w:vAlign w:val="center"/>
          </w:tcPr>
          <w:p w14:paraId="59D3535F" w14:textId="77777777" w:rsidR="00296360" w:rsidRPr="00F752AE" w:rsidRDefault="00296360" w:rsidP="00296360">
            <w:pPr>
              <w:rPr>
                <w:rFonts w:cstheme="minorHAnsi"/>
                <w:lang w:val="en-US"/>
              </w:rPr>
            </w:pPr>
            <w:r w:rsidRPr="00F752AE">
              <w:rPr>
                <w:rFonts w:cstheme="minorHAnsi"/>
                <w:lang w:val="en-US"/>
              </w:rPr>
              <w:t>7</w:t>
            </w:r>
          </w:p>
        </w:tc>
        <w:tc>
          <w:tcPr>
            <w:tcW w:w="8795" w:type="dxa"/>
            <w:shd w:val="clear" w:color="auto" w:fill="F2F8EE"/>
            <w:vAlign w:val="center"/>
          </w:tcPr>
          <w:p w14:paraId="4B145CDC" w14:textId="77777777" w:rsidR="00296360" w:rsidRDefault="00296360" w:rsidP="00296360">
            <w:pPr>
              <w:rPr>
                <w:rFonts w:cstheme="minorHAnsi"/>
                <w:lang w:val="en-US"/>
              </w:rPr>
            </w:pPr>
            <w:r>
              <w:rPr>
                <w:rFonts w:cstheme="minorHAnsi"/>
                <w:lang w:val="en-US"/>
              </w:rPr>
              <w:t>Page 7 of 8</w:t>
            </w:r>
          </w:p>
          <w:p w14:paraId="1B324C14" w14:textId="673B4939" w:rsidR="00296360" w:rsidRPr="00F752AE" w:rsidRDefault="00296360" w:rsidP="00296360">
            <w:pPr>
              <w:rPr>
                <w:rFonts w:cstheme="minorHAnsi"/>
                <w:lang w:val="en-US"/>
              </w:rPr>
            </w:pPr>
            <w:r w:rsidRPr="00296360">
              <w:rPr>
                <w:rFonts w:cstheme="minorHAnsi"/>
              </w:rPr>
              <w:t xml:space="preserve">Section 6.2 (Conservation Authority Policies) of the EIS indicates that the infilling of 2 wetlands (and potentially 4 ponds is required) and compensation will occur based on discussion and permitting with the KCA. However, there were no mitigation measures provided to avoid impacts to the wetlands (timing windows for amphibians, turtles, salvages, etc.) and/or associated species (including special concern turtle species) occurrences in the wetlands prior to infilling. </w:t>
            </w:r>
            <w:r w:rsidRPr="00296360">
              <w:rPr>
                <w:rFonts w:cstheme="minorHAnsi"/>
                <w:b/>
                <w:bCs/>
              </w:rPr>
              <w:t xml:space="preserve">Stantec recommends mitigation measures are documented to reduce impacts to semi-aquatic species. </w:t>
            </w:r>
          </w:p>
        </w:tc>
        <w:tc>
          <w:tcPr>
            <w:tcW w:w="1208" w:type="dxa"/>
            <w:shd w:val="clear" w:color="auto" w:fill="F2F8EE"/>
            <w:vAlign w:val="center"/>
          </w:tcPr>
          <w:p w14:paraId="739D4DEA" w14:textId="0205710B"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74C3021D" w14:textId="176234E9" w:rsidR="00296360" w:rsidRPr="00F752AE" w:rsidRDefault="00980BF9" w:rsidP="00296360">
            <w:pPr>
              <w:rPr>
                <w:rFonts w:cstheme="minorHAnsi"/>
                <w:lang w:val="en-US"/>
              </w:rPr>
            </w:pPr>
            <w:r w:rsidRPr="008F044F">
              <w:rPr>
                <w:rFonts w:cstheme="minorHAnsi"/>
                <w:lang w:val="en-US"/>
              </w:rPr>
              <w:t>See response to Comment 1.</w:t>
            </w:r>
          </w:p>
        </w:tc>
      </w:tr>
      <w:tr w:rsidR="00296360" w:rsidRPr="00F752AE" w14:paraId="46D1010F" w14:textId="77777777" w:rsidTr="009E6D92">
        <w:tc>
          <w:tcPr>
            <w:tcW w:w="560" w:type="dxa"/>
            <w:shd w:val="clear" w:color="auto" w:fill="F2F8EE"/>
            <w:vAlign w:val="center"/>
          </w:tcPr>
          <w:p w14:paraId="2819A307" w14:textId="77777777" w:rsidR="00296360" w:rsidRPr="00F752AE" w:rsidRDefault="00296360" w:rsidP="00296360">
            <w:pPr>
              <w:rPr>
                <w:rFonts w:cstheme="minorHAnsi"/>
                <w:lang w:val="en-US"/>
              </w:rPr>
            </w:pPr>
            <w:r w:rsidRPr="00F752AE">
              <w:rPr>
                <w:rFonts w:cstheme="minorHAnsi"/>
                <w:lang w:val="en-US"/>
              </w:rPr>
              <w:t>8</w:t>
            </w:r>
          </w:p>
        </w:tc>
        <w:tc>
          <w:tcPr>
            <w:tcW w:w="8795" w:type="dxa"/>
            <w:shd w:val="clear" w:color="auto" w:fill="F2F8EE"/>
            <w:vAlign w:val="center"/>
          </w:tcPr>
          <w:p w14:paraId="6874FFB9" w14:textId="77777777" w:rsidR="00296360" w:rsidRDefault="00296360" w:rsidP="00296360">
            <w:pPr>
              <w:rPr>
                <w:rFonts w:cstheme="minorHAnsi"/>
                <w:lang w:val="en-US"/>
              </w:rPr>
            </w:pPr>
            <w:r>
              <w:rPr>
                <w:rFonts w:cstheme="minorHAnsi"/>
                <w:lang w:val="en-US"/>
              </w:rPr>
              <w:t>Page 7 of 8</w:t>
            </w:r>
          </w:p>
          <w:p w14:paraId="7A901297" w14:textId="6B834B40" w:rsidR="00296360" w:rsidRPr="00F752AE" w:rsidRDefault="00296360" w:rsidP="00296360">
            <w:pPr>
              <w:rPr>
                <w:rFonts w:cstheme="minorHAnsi"/>
                <w:lang w:val="en-US"/>
              </w:rPr>
            </w:pPr>
            <w:r w:rsidRPr="00296360">
              <w:rPr>
                <w:rFonts w:cstheme="minorHAnsi"/>
              </w:rPr>
              <w:t xml:space="preserve">There was no discussion regarding the recently released </w:t>
            </w:r>
            <w:r w:rsidRPr="00296360">
              <w:rPr>
                <w:rFonts w:cstheme="minorHAnsi"/>
                <w:i/>
                <w:iCs/>
              </w:rPr>
              <w:t xml:space="preserve">Migratory Bird Regulations </w:t>
            </w:r>
            <w:r w:rsidRPr="00296360">
              <w:rPr>
                <w:rFonts w:cstheme="minorHAnsi"/>
              </w:rPr>
              <w:t xml:space="preserve">(2022). </w:t>
            </w:r>
            <w:r w:rsidRPr="00296360">
              <w:rPr>
                <w:rFonts w:cstheme="minorHAnsi"/>
                <w:b/>
                <w:bCs/>
              </w:rPr>
              <w:t xml:space="preserve">Stantec recommends that additional mitigation measures should be considered to maintain conformation with the regulations. </w:t>
            </w:r>
          </w:p>
        </w:tc>
        <w:tc>
          <w:tcPr>
            <w:tcW w:w="1208" w:type="dxa"/>
            <w:shd w:val="clear" w:color="auto" w:fill="F2F8EE"/>
            <w:vAlign w:val="center"/>
          </w:tcPr>
          <w:p w14:paraId="04261CE6" w14:textId="0300F6AA" w:rsidR="00296360" w:rsidRPr="00F752AE" w:rsidRDefault="00980BF9" w:rsidP="00296360">
            <w:pPr>
              <w:jc w:val="center"/>
              <w:rPr>
                <w:rFonts w:cstheme="minorHAnsi"/>
                <w:lang w:val="en-US"/>
              </w:rPr>
            </w:pPr>
            <w:r>
              <w:rPr>
                <w:rFonts w:cstheme="minorHAnsi"/>
                <w:lang w:val="en-US"/>
              </w:rPr>
              <w:t>Cambium</w:t>
            </w:r>
          </w:p>
        </w:tc>
        <w:tc>
          <w:tcPr>
            <w:tcW w:w="3922" w:type="dxa"/>
            <w:shd w:val="clear" w:color="auto" w:fill="F2F8EE"/>
            <w:vAlign w:val="center"/>
          </w:tcPr>
          <w:p w14:paraId="4364EF68" w14:textId="77777777" w:rsidR="00980BF9" w:rsidRPr="00C01144" w:rsidRDefault="00980BF9" w:rsidP="00980BF9">
            <w:pPr>
              <w:rPr>
                <w:rFonts w:cstheme="minorHAnsi"/>
                <w:lang w:val="en-US"/>
              </w:rPr>
            </w:pPr>
            <w:r w:rsidRPr="00C01144">
              <w:rPr>
                <w:rFonts w:cstheme="minorHAnsi"/>
                <w:lang w:val="en-US"/>
              </w:rPr>
              <w:t xml:space="preserve">The </w:t>
            </w:r>
            <w:r w:rsidRPr="00C01144">
              <w:rPr>
                <w:rFonts w:cstheme="minorHAnsi"/>
                <w:i/>
                <w:iCs/>
                <w:lang w:val="en-US"/>
              </w:rPr>
              <w:t>Migratory Birds Convention Act</w:t>
            </w:r>
            <w:r w:rsidRPr="00C01144">
              <w:rPr>
                <w:rFonts w:cstheme="minorHAnsi"/>
                <w:lang w:val="en-US"/>
              </w:rPr>
              <w:t xml:space="preserve">, 1994 [MBCA; (Canada, 1994)] prohibits the killing or capturing of migratory birds, as well as any damage, destruction, removal or disturbance of active nests. </w:t>
            </w:r>
          </w:p>
          <w:p w14:paraId="04CDA009" w14:textId="77777777" w:rsidR="00980BF9" w:rsidRDefault="00980BF9" w:rsidP="00980BF9">
            <w:pPr>
              <w:rPr>
                <w:rFonts w:cstheme="minorHAnsi"/>
                <w:lang w:val="en-US"/>
              </w:rPr>
            </w:pPr>
            <w:r w:rsidRPr="00C01144">
              <w:rPr>
                <w:rFonts w:cstheme="minorHAnsi"/>
                <w:lang w:val="en-US"/>
              </w:rPr>
              <w:t>In 2022, new Migratory Birds Regulations (MBR) were adopted that afford year-round protection to the nests of sixteen migratory species, until the nest is deemed to be abandoned. Nest</w:t>
            </w:r>
            <w:r>
              <w:rPr>
                <w:rFonts w:cstheme="minorHAnsi"/>
                <w:lang w:val="en-US"/>
              </w:rPr>
              <w:t xml:space="preserve"> </w:t>
            </w:r>
            <w:r w:rsidRPr="00C01144">
              <w:rPr>
                <w:rFonts w:cstheme="minorHAnsi"/>
                <w:lang w:val="en-US"/>
              </w:rPr>
              <w:t xml:space="preserve">abandonment must be reported through the Abandoned Nest Registry, administered by ECCC, if there is a need to damage, disturb, destroy, or remove a </w:t>
            </w:r>
            <w:r w:rsidRPr="00C01144">
              <w:rPr>
                <w:rFonts w:cstheme="minorHAnsi"/>
                <w:lang w:val="en-US"/>
              </w:rPr>
              <w:lastRenderedPageBreak/>
              <w:t>nest of a species listed in Schedule 1 of the MBR.</w:t>
            </w:r>
          </w:p>
          <w:p w14:paraId="5F811A50" w14:textId="77777777" w:rsidR="00980BF9" w:rsidRDefault="00980BF9" w:rsidP="00980BF9">
            <w:pPr>
              <w:rPr>
                <w:rFonts w:cstheme="minorHAnsi"/>
                <w:lang w:val="en-US"/>
              </w:rPr>
            </w:pPr>
          </w:p>
          <w:p w14:paraId="76DB4CDF" w14:textId="77777777" w:rsidR="00980BF9" w:rsidRDefault="00980BF9" w:rsidP="00980BF9">
            <w:pPr>
              <w:rPr>
                <w:rFonts w:cstheme="minorHAnsi"/>
                <w:lang w:val="en-US"/>
              </w:rPr>
            </w:pPr>
            <w:r>
              <w:rPr>
                <w:rFonts w:cstheme="minorHAnsi"/>
                <w:lang w:val="en-US"/>
              </w:rPr>
              <w:t>The e</w:t>
            </w:r>
            <w:r w:rsidRPr="00777ABF">
              <w:rPr>
                <w:rFonts w:cstheme="minorHAnsi"/>
                <w:lang w:val="en-US"/>
              </w:rPr>
              <w:t>xtensive investigations completed during leaf-off conditions to evaluate candidate bat maternity roost habitat throughout the forested area proposed for removal</w:t>
            </w:r>
            <w:r>
              <w:rPr>
                <w:rFonts w:cstheme="minorHAnsi"/>
                <w:lang w:val="en-US"/>
              </w:rPr>
              <w:t xml:space="preserve"> also served to </w:t>
            </w:r>
            <w:proofErr w:type="gramStart"/>
            <w:r>
              <w:rPr>
                <w:rFonts w:cstheme="minorHAnsi"/>
                <w:lang w:val="en-US"/>
              </w:rPr>
              <w:t>inventory</w:t>
            </w:r>
            <w:proofErr w:type="gramEnd"/>
            <w:r>
              <w:rPr>
                <w:rFonts w:cstheme="minorHAnsi"/>
                <w:lang w:val="en-US"/>
              </w:rPr>
              <w:t xml:space="preserve"> potential cavities/nests suitable for migratory birds. No active stick nests or cavities were observed during these investigations. Further, none of the species listed in Schedule 1 of the MBR were documented during the breeding bird surveys conducted on the Site. </w:t>
            </w:r>
          </w:p>
          <w:p w14:paraId="452F68B7" w14:textId="5620F0BC" w:rsidR="00296360" w:rsidRPr="00F752AE" w:rsidRDefault="00980BF9" w:rsidP="00980BF9">
            <w:pPr>
              <w:rPr>
                <w:rFonts w:cstheme="minorHAnsi"/>
                <w:lang w:val="en-US"/>
              </w:rPr>
            </w:pPr>
            <w:r w:rsidRPr="00777ABF">
              <w:rPr>
                <w:rFonts w:cstheme="minorHAnsi"/>
              </w:rPr>
              <w:t xml:space="preserve">As such, Cambium is of the opinion that no impacts to birds protected under the </w:t>
            </w:r>
            <w:r w:rsidRPr="00777ABF">
              <w:rPr>
                <w:rFonts w:cstheme="minorHAnsi"/>
                <w:i/>
                <w:iCs/>
              </w:rPr>
              <w:t>Migratory Birds Convention Act</w:t>
            </w:r>
            <w:r w:rsidRPr="00777ABF">
              <w:rPr>
                <w:rFonts w:cstheme="minorHAnsi"/>
              </w:rPr>
              <w:t>, 1994 are anticipated provided the timing window for vegetation clearing outlined in the EIS is implemented (i.e., no clearing between April 1 to August 31).</w:t>
            </w:r>
          </w:p>
        </w:tc>
      </w:tr>
    </w:tbl>
    <w:p w14:paraId="62A107B3" w14:textId="1E179361" w:rsidR="00BD0023" w:rsidRPr="00F752AE" w:rsidRDefault="00BD0023">
      <w:pPr>
        <w:rPr>
          <w:rFonts w:cstheme="minorHAnsi"/>
          <w:lang w:val="en-US"/>
        </w:rPr>
      </w:pPr>
    </w:p>
    <w:p w14:paraId="2B992483" w14:textId="2D1A6CBD" w:rsidR="002726E5" w:rsidRPr="00F752AE" w:rsidRDefault="002726E5">
      <w:pPr>
        <w:rPr>
          <w:rFonts w:cstheme="minorHAnsi"/>
          <w:lang w:val="en-US"/>
        </w:rPr>
      </w:pPr>
    </w:p>
    <w:tbl>
      <w:tblPr>
        <w:tblStyle w:val="TableGrid"/>
        <w:tblW w:w="14485" w:type="dxa"/>
        <w:tblLook w:val="04A0" w:firstRow="1" w:lastRow="0" w:firstColumn="1" w:lastColumn="0" w:noHBand="0" w:noVBand="1"/>
      </w:tblPr>
      <w:tblGrid>
        <w:gridCol w:w="560"/>
        <w:gridCol w:w="8795"/>
        <w:gridCol w:w="1208"/>
        <w:gridCol w:w="3922"/>
      </w:tblGrid>
      <w:tr w:rsidR="002726E5" w:rsidRPr="00F752AE" w14:paraId="3992E27A" w14:textId="77777777" w:rsidTr="009E6D92">
        <w:trPr>
          <w:tblHeader/>
        </w:trPr>
        <w:tc>
          <w:tcPr>
            <w:tcW w:w="560" w:type="dxa"/>
            <w:shd w:val="clear" w:color="auto" w:fill="767171" w:themeFill="background2" w:themeFillShade="80"/>
            <w:vAlign w:val="center"/>
          </w:tcPr>
          <w:p w14:paraId="134BDCDE" w14:textId="77777777" w:rsidR="002726E5" w:rsidRPr="00F752AE" w:rsidRDefault="002726E5" w:rsidP="00E01D3D">
            <w:pPr>
              <w:rPr>
                <w:rFonts w:cstheme="minorHAnsi"/>
                <w:b/>
                <w:bCs/>
                <w:color w:val="FFFFFF" w:themeColor="background1"/>
                <w:lang w:val="en-US"/>
              </w:rPr>
            </w:pPr>
          </w:p>
        </w:tc>
        <w:tc>
          <w:tcPr>
            <w:tcW w:w="8795" w:type="dxa"/>
            <w:shd w:val="clear" w:color="auto" w:fill="767171" w:themeFill="background2" w:themeFillShade="80"/>
            <w:vAlign w:val="center"/>
          </w:tcPr>
          <w:p w14:paraId="6064EADE" w14:textId="77777777" w:rsidR="002726E5" w:rsidRPr="00F752AE" w:rsidRDefault="002726E5" w:rsidP="00E01D3D">
            <w:pPr>
              <w:jc w:val="center"/>
              <w:rPr>
                <w:rFonts w:cstheme="minorHAnsi"/>
                <w:b/>
                <w:bCs/>
                <w:color w:val="FFFFFF" w:themeColor="background1"/>
                <w:lang w:val="en-US"/>
              </w:rPr>
            </w:pPr>
            <w:r w:rsidRPr="00F752AE">
              <w:rPr>
                <w:rFonts w:cstheme="minorHAnsi"/>
                <w:b/>
                <w:bCs/>
                <w:color w:val="FFFFFF" w:themeColor="background1"/>
                <w:lang w:val="en-US"/>
              </w:rPr>
              <w:t>Comment</w:t>
            </w:r>
          </w:p>
        </w:tc>
        <w:tc>
          <w:tcPr>
            <w:tcW w:w="1208" w:type="dxa"/>
            <w:shd w:val="clear" w:color="auto" w:fill="767171" w:themeFill="background2" w:themeFillShade="80"/>
            <w:vAlign w:val="center"/>
          </w:tcPr>
          <w:p w14:paraId="1A9325A9" w14:textId="77777777" w:rsidR="002726E5" w:rsidRPr="00F752AE" w:rsidRDefault="002726E5" w:rsidP="009E6D92">
            <w:pPr>
              <w:jc w:val="center"/>
              <w:rPr>
                <w:rFonts w:cstheme="minorHAnsi"/>
                <w:b/>
                <w:bCs/>
                <w:color w:val="FFFFFF" w:themeColor="background1"/>
                <w:lang w:val="en-US"/>
              </w:rPr>
            </w:pPr>
            <w:r w:rsidRPr="00F752AE">
              <w:rPr>
                <w:rFonts w:cstheme="minorHAnsi"/>
                <w:b/>
                <w:bCs/>
                <w:color w:val="FFFFFF" w:themeColor="background1"/>
                <w:lang w:val="en-US"/>
              </w:rPr>
              <w:t>Consultant</w:t>
            </w:r>
          </w:p>
        </w:tc>
        <w:tc>
          <w:tcPr>
            <w:tcW w:w="3922" w:type="dxa"/>
            <w:shd w:val="clear" w:color="auto" w:fill="767171" w:themeFill="background2" w:themeFillShade="80"/>
            <w:vAlign w:val="center"/>
          </w:tcPr>
          <w:p w14:paraId="1A188429" w14:textId="77777777" w:rsidR="002726E5" w:rsidRPr="00F752AE" w:rsidRDefault="002726E5" w:rsidP="00E01D3D">
            <w:pPr>
              <w:jc w:val="center"/>
              <w:rPr>
                <w:rFonts w:cstheme="minorHAnsi"/>
                <w:b/>
                <w:bCs/>
                <w:color w:val="FFFFFF" w:themeColor="background1"/>
                <w:lang w:val="en-US"/>
              </w:rPr>
            </w:pPr>
            <w:r w:rsidRPr="00F752AE">
              <w:rPr>
                <w:rFonts w:cstheme="minorHAnsi"/>
                <w:b/>
                <w:bCs/>
                <w:color w:val="FFFFFF" w:themeColor="background1"/>
                <w:lang w:val="en-US"/>
              </w:rPr>
              <w:t>Response</w:t>
            </w:r>
          </w:p>
        </w:tc>
      </w:tr>
      <w:tr w:rsidR="00AB0DA4" w:rsidRPr="00F752AE" w14:paraId="781F8F1B" w14:textId="77777777" w:rsidTr="009E6D92">
        <w:trPr>
          <w:tblHeader/>
        </w:trPr>
        <w:tc>
          <w:tcPr>
            <w:tcW w:w="560" w:type="dxa"/>
            <w:shd w:val="clear" w:color="auto" w:fill="BFBFBF" w:themeFill="background1" w:themeFillShade="BF"/>
            <w:vAlign w:val="center"/>
          </w:tcPr>
          <w:p w14:paraId="53072408" w14:textId="77777777" w:rsidR="002726E5" w:rsidRPr="00F752AE" w:rsidRDefault="002726E5" w:rsidP="00E01D3D">
            <w:pPr>
              <w:jc w:val="center"/>
              <w:rPr>
                <w:rFonts w:cstheme="minorHAnsi"/>
                <w:b/>
                <w:bCs/>
                <w:lang w:val="en-US"/>
              </w:rPr>
            </w:pPr>
            <w:r w:rsidRPr="00F752AE">
              <w:rPr>
                <w:rFonts w:cstheme="minorHAnsi"/>
                <w:b/>
                <w:bCs/>
                <w:lang w:val="en-US"/>
              </w:rPr>
              <w:t>#</w:t>
            </w:r>
          </w:p>
        </w:tc>
        <w:tc>
          <w:tcPr>
            <w:tcW w:w="8795" w:type="dxa"/>
            <w:shd w:val="clear" w:color="auto" w:fill="BFBFBF" w:themeFill="background1" w:themeFillShade="BF"/>
            <w:vAlign w:val="center"/>
          </w:tcPr>
          <w:p w14:paraId="53FE2C35" w14:textId="27C5C159" w:rsidR="002726E5" w:rsidRPr="00AB57D2" w:rsidRDefault="00AB57D2" w:rsidP="00E01D3D">
            <w:pPr>
              <w:rPr>
                <w:rFonts w:cstheme="minorHAnsi"/>
                <w:b/>
                <w:bCs/>
              </w:rPr>
            </w:pPr>
            <w:r w:rsidRPr="00AB57D2">
              <w:rPr>
                <w:rFonts w:cstheme="minorHAnsi"/>
                <w:b/>
                <w:bCs/>
              </w:rPr>
              <w:t xml:space="preserve">Transportation Impact Study 168 County Road 49, </w:t>
            </w:r>
            <w:proofErr w:type="spellStart"/>
            <w:r w:rsidRPr="00AB57D2">
              <w:rPr>
                <w:rFonts w:cstheme="minorHAnsi"/>
                <w:b/>
                <w:bCs/>
              </w:rPr>
              <w:t>Nextrans</w:t>
            </w:r>
            <w:proofErr w:type="spellEnd"/>
            <w:r w:rsidRPr="00AB57D2">
              <w:rPr>
                <w:rFonts w:cstheme="minorHAnsi"/>
                <w:b/>
                <w:bCs/>
              </w:rPr>
              <w:t xml:space="preserve"> Consulting Engineers</w:t>
            </w:r>
          </w:p>
        </w:tc>
        <w:tc>
          <w:tcPr>
            <w:tcW w:w="5130" w:type="dxa"/>
            <w:gridSpan w:val="2"/>
            <w:shd w:val="clear" w:color="auto" w:fill="BFBFBF" w:themeFill="background1" w:themeFillShade="BF"/>
            <w:vAlign w:val="center"/>
          </w:tcPr>
          <w:p w14:paraId="58F2DD45" w14:textId="77777777" w:rsidR="002726E5" w:rsidRPr="00F752AE" w:rsidRDefault="002726E5" w:rsidP="009E6D92">
            <w:pPr>
              <w:rPr>
                <w:rFonts w:cstheme="minorHAnsi"/>
                <w:b/>
                <w:bCs/>
                <w:lang w:val="en-US"/>
              </w:rPr>
            </w:pPr>
            <w:r w:rsidRPr="00F752AE">
              <w:rPr>
                <w:rFonts w:cstheme="minorHAnsi"/>
                <w:b/>
                <w:bCs/>
                <w:lang w:val="en-US"/>
              </w:rPr>
              <w:t>Commenter</w:t>
            </w:r>
            <w:proofErr w:type="gramStart"/>
            <w:r w:rsidRPr="00F752AE">
              <w:rPr>
                <w:rFonts w:cstheme="minorHAnsi"/>
                <w:b/>
                <w:bCs/>
                <w:lang w:val="en-US"/>
              </w:rPr>
              <w:t>:  Stantec</w:t>
            </w:r>
            <w:proofErr w:type="gramEnd"/>
            <w:r w:rsidRPr="00F752AE">
              <w:rPr>
                <w:rFonts w:cstheme="minorHAnsi"/>
                <w:b/>
                <w:bCs/>
                <w:lang w:val="en-US"/>
              </w:rPr>
              <w:t xml:space="preserve"> Consulting Ltd. (Peer Review on behalf of the County of Peterborough)</w:t>
            </w:r>
          </w:p>
        </w:tc>
      </w:tr>
      <w:tr w:rsidR="004F19A1" w:rsidRPr="00F752AE" w14:paraId="0D450440" w14:textId="77777777" w:rsidTr="009E6D92">
        <w:tc>
          <w:tcPr>
            <w:tcW w:w="560" w:type="dxa"/>
            <w:shd w:val="clear" w:color="auto" w:fill="F2F2F2" w:themeFill="background1" w:themeFillShade="F2"/>
            <w:vAlign w:val="center"/>
          </w:tcPr>
          <w:p w14:paraId="6DC2065A" w14:textId="77777777" w:rsidR="004F19A1" w:rsidRPr="00F752AE" w:rsidRDefault="004F19A1" w:rsidP="004F19A1">
            <w:pPr>
              <w:rPr>
                <w:rFonts w:cstheme="minorHAnsi"/>
                <w:lang w:val="en-US"/>
              </w:rPr>
            </w:pPr>
            <w:r w:rsidRPr="00F752AE">
              <w:rPr>
                <w:rFonts w:cstheme="minorHAnsi"/>
                <w:lang w:val="en-US"/>
              </w:rPr>
              <w:t>1</w:t>
            </w:r>
          </w:p>
        </w:tc>
        <w:tc>
          <w:tcPr>
            <w:tcW w:w="8795" w:type="dxa"/>
            <w:shd w:val="clear" w:color="auto" w:fill="F2F2F2" w:themeFill="background1" w:themeFillShade="F2"/>
            <w:vAlign w:val="center"/>
          </w:tcPr>
          <w:p w14:paraId="1F82E65C" w14:textId="32F6C926" w:rsidR="004F19A1" w:rsidRPr="00F752AE" w:rsidRDefault="00F7413F" w:rsidP="004F19A1">
            <w:pPr>
              <w:rPr>
                <w:rFonts w:cstheme="minorHAnsi"/>
                <w:lang w:val="en-US"/>
              </w:rPr>
            </w:pPr>
            <w:r>
              <w:t>What is the split of the lots between east and west parcels?</w:t>
            </w:r>
          </w:p>
        </w:tc>
        <w:tc>
          <w:tcPr>
            <w:tcW w:w="1208" w:type="dxa"/>
            <w:shd w:val="clear" w:color="auto" w:fill="F2F2F2" w:themeFill="background1" w:themeFillShade="F2"/>
            <w:vAlign w:val="center"/>
          </w:tcPr>
          <w:p w14:paraId="7BCC1ADB" w14:textId="54EE7AB1"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602F2FAE" w14:textId="6C2DCACB" w:rsidR="004F19A1" w:rsidRPr="00F752AE" w:rsidRDefault="00F7413F" w:rsidP="004F19A1">
            <w:pPr>
              <w:rPr>
                <w:rFonts w:cstheme="minorHAnsi"/>
                <w:lang w:val="en-US"/>
              </w:rPr>
            </w:pPr>
            <w:r>
              <w:t>As noted previously in our reporting, there is an environmental feature that separates the east and west parcels</w:t>
            </w:r>
          </w:p>
        </w:tc>
      </w:tr>
      <w:tr w:rsidR="004F19A1" w:rsidRPr="00F752AE" w14:paraId="5D19D7F1" w14:textId="77777777" w:rsidTr="009E6D92">
        <w:tc>
          <w:tcPr>
            <w:tcW w:w="560" w:type="dxa"/>
            <w:shd w:val="clear" w:color="auto" w:fill="F2F2F2" w:themeFill="background1" w:themeFillShade="F2"/>
            <w:vAlign w:val="center"/>
          </w:tcPr>
          <w:p w14:paraId="2BC0BD27" w14:textId="77777777" w:rsidR="004F19A1" w:rsidRPr="00F752AE" w:rsidRDefault="004F19A1" w:rsidP="004F19A1">
            <w:pPr>
              <w:rPr>
                <w:rFonts w:cstheme="minorHAnsi"/>
                <w:lang w:val="en-US"/>
              </w:rPr>
            </w:pPr>
            <w:r w:rsidRPr="00F752AE">
              <w:rPr>
                <w:rFonts w:cstheme="minorHAnsi"/>
                <w:lang w:val="en-US"/>
              </w:rPr>
              <w:t>2</w:t>
            </w:r>
          </w:p>
        </w:tc>
        <w:tc>
          <w:tcPr>
            <w:tcW w:w="8795" w:type="dxa"/>
            <w:shd w:val="clear" w:color="auto" w:fill="F2F2F2" w:themeFill="background1" w:themeFillShade="F2"/>
            <w:vAlign w:val="center"/>
          </w:tcPr>
          <w:p w14:paraId="56E5A250" w14:textId="08791201" w:rsidR="004F19A1" w:rsidRPr="00F752AE" w:rsidRDefault="00F7413F" w:rsidP="004F19A1">
            <w:pPr>
              <w:rPr>
                <w:rFonts w:cstheme="minorHAnsi"/>
                <w:lang w:val="en-US"/>
              </w:rPr>
            </w:pPr>
            <w:r>
              <w:t>It is recommended that jurisdictions and approximate paved width for each road be identified.</w:t>
            </w:r>
          </w:p>
        </w:tc>
        <w:tc>
          <w:tcPr>
            <w:tcW w:w="1208" w:type="dxa"/>
            <w:shd w:val="clear" w:color="auto" w:fill="F2F2F2" w:themeFill="background1" w:themeFillShade="F2"/>
            <w:vAlign w:val="center"/>
          </w:tcPr>
          <w:p w14:paraId="4290C4FC" w14:textId="5BE5B702"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46E1BCEE" w14:textId="40FECC80" w:rsidR="004F19A1" w:rsidRPr="00F752AE" w:rsidRDefault="00F7413F" w:rsidP="004F19A1">
            <w:pPr>
              <w:rPr>
                <w:rFonts w:cstheme="minorHAnsi"/>
                <w:lang w:val="en-US"/>
              </w:rPr>
            </w:pPr>
            <w:r>
              <w:t>Acknowledged. This information has been detailed in Section 1.0 of this Addendum</w:t>
            </w:r>
          </w:p>
        </w:tc>
      </w:tr>
      <w:tr w:rsidR="004F19A1" w:rsidRPr="00F752AE" w14:paraId="465B56C5" w14:textId="77777777" w:rsidTr="009E6D92">
        <w:tc>
          <w:tcPr>
            <w:tcW w:w="560" w:type="dxa"/>
            <w:shd w:val="clear" w:color="auto" w:fill="F2F2F2" w:themeFill="background1" w:themeFillShade="F2"/>
            <w:vAlign w:val="center"/>
          </w:tcPr>
          <w:p w14:paraId="437E1E74" w14:textId="77777777" w:rsidR="004F19A1" w:rsidRPr="00F752AE" w:rsidRDefault="004F19A1" w:rsidP="004F19A1">
            <w:pPr>
              <w:rPr>
                <w:rFonts w:cstheme="minorHAnsi"/>
                <w:lang w:val="en-US"/>
              </w:rPr>
            </w:pPr>
            <w:r w:rsidRPr="00F752AE">
              <w:rPr>
                <w:rFonts w:cstheme="minorHAnsi"/>
                <w:lang w:val="en-US"/>
              </w:rPr>
              <w:t>3</w:t>
            </w:r>
          </w:p>
        </w:tc>
        <w:tc>
          <w:tcPr>
            <w:tcW w:w="8795" w:type="dxa"/>
            <w:shd w:val="clear" w:color="auto" w:fill="F2F2F2" w:themeFill="background1" w:themeFillShade="F2"/>
            <w:vAlign w:val="center"/>
          </w:tcPr>
          <w:p w14:paraId="116C2834" w14:textId="3441E237" w:rsidR="004F19A1" w:rsidRPr="00F752AE" w:rsidRDefault="00F7413F" w:rsidP="004F19A1">
            <w:pPr>
              <w:rPr>
                <w:rFonts w:cstheme="minorHAnsi"/>
                <w:lang w:val="en-US"/>
              </w:rPr>
            </w:pPr>
            <w:r>
              <w:t>The existing lane configuration for eastbound right/left turn movements on Ranch Road and Moon Line Road N intersection; sounds to be shared. Please confirm.</w:t>
            </w:r>
          </w:p>
        </w:tc>
        <w:tc>
          <w:tcPr>
            <w:tcW w:w="1208" w:type="dxa"/>
            <w:shd w:val="clear" w:color="auto" w:fill="F2F2F2" w:themeFill="background1" w:themeFillShade="F2"/>
            <w:vAlign w:val="center"/>
          </w:tcPr>
          <w:p w14:paraId="7D4F00D1" w14:textId="16AAB859"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5ADF5F64" w14:textId="071BD76C" w:rsidR="004F19A1" w:rsidRPr="00F752AE" w:rsidRDefault="00F7413F" w:rsidP="004F19A1">
            <w:pPr>
              <w:rPr>
                <w:rFonts w:cstheme="minorHAnsi"/>
                <w:lang w:val="en-US"/>
              </w:rPr>
            </w:pPr>
            <w:r>
              <w:t>Acknowledged. It is noted that this comment has no bearing on the findings of our previously stated conclusions and recommendations.</w:t>
            </w:r>
          </w:p>
        </w:tc>
      </w:tr>
      <w:tr w:rsidR="004F19A1" w:rsidRPr="00F752AE" w14:paraId="54353B26" w14:textId="77777777" w:rsidTr="009E6D92">
        <w:tc>
          <w:tcPr>
            <w:tcW w:w="560" w:type="dxa"/>
            <w:shd w:val="clear" w:color="auto" w:fill="F2F2F2" w:themeFill="background1" w:themeFillShade="F2"/>
            <w:vAlign w:val="center"/>
          </w:tcPr>
          <w:p w14:paraId="391C9C6F" w14:textId="77777777" w:rsidR="004F19A1" w:rsidRPr="00F752AE" w:rsidRDefault="004F19A1" w:rsidP="004F19A1">
            <w:pPr>
              <w:rPr>
                <w:rFonts w:cstheme="minorHAnsi"/>
                <w:lang w:val="en-US"/>
              </w:rPr>
            </w:pPr>
            <w:r w:rsidRPr="00F752AE">
              <w:rPr>
                <w:rFonts w:cstheme="minorHAnsi"/>
                <w:lang w:val="en-US"/>
              </w:rPr>
              <w:t>4</w:t>
            </w:r>
          </w:p>
        </w:tc>
        <w:tc>
          <w:tcPr>
            <w:tcW w:w="8795" w:type="dxa"/>
            <w:shd w:val="clear" w:color="auto" w:fill="F2F2F2" w:themeFill="background1" w:themeFillShade="F2"/>
            <w:vAlign w:val="center"/>
          </w:tcPr>
          <w:p w14:paraId="3B38CF52" w14:textId="2053C85A" w:rsidR="004F19A1" w:rsidRPr="00F752AE" w:rsidRDefault="00F7413F" w:rsidP="004F19A1">
            <w:pPr>
              <w:rPr>
                <w:rFonts w:cstheme="minorHAnsi"/>
                <w:lang w:val="en-US"/>
              </w:rPr>
            </w:pPr>
            <w:r>
              <w:t>The AM/PM Peak Hours and signals are not relevant to Figure 2-1. The legend should be updated</w:t>
            </w:r>
          </w:p>
        </w:tc>
        <w:tc>
          <w:tcPr>
            <w:tcW w:w="1208" w:type="dxa"/>
            <w:shd w:val="clear" w:color="auto" w:fill="F2F2F2" w:themeFill="background1" w:themeFillShade="F2"/>
            <w:vAlign w:val="center"/>
          </w:tcPr>
          <w:p w14:paraId="0D7642DA" w14:textId="2E6EE209"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0CEF524E" w14:textId="42EBD99E" w:rsidR="004F19A1" w:rsidRPr="00F752AE" w:rsidRDefault="00F7413F" w:rsidP="004F19A1">
            <w:pPr>
              <w:rPr>
                <w:rFonts w:cstheme="minorHAnsi"/>
                <w:lang w:val="en-US"/>
              </w:rPr>
            </w:pPr>
            <w:r>
              <w:t>Acknowledged. It is noted that this comment has no bearing on the findings of our previously stated conclusions and recommendations.</w:t>
            </w:r>
          </w:p>
        </w:tc>
      </w:tr>
      <w:tr w:rsidR="004F19A1" w:rsidRPr="00F752AE" w14:paraId="7AA7967D" w14:textId="77777777" w:rsidTr="009E6D92">
        <w:tc>
          <w:tcPr>
            <w:tcW w:w="560" w:type="dxa"/>
            <w:shd w:val="clear" w:color="auto" w:fill="F2F2F2" w:themeFill="background1" w:themeFillShade="F2"/>
            <w:vAlign w:val="center"/>
          </w:tcPr>
          <w:p w14:paraId="192AFF38" w14:textId="77777777" w:rsidR="004F19A1" w:rsidRPr="00F752AE" w:rsidRDefault="004F19A1" w:rsidP="004F19A1">
            <w:pPr>
              <w:rPr>
                <w:rFonts w:cstheme="minorHAnsi"/>
                <w:lang w:val="en-US"/>
              </w:rPr>
            </w:pPr>
            <w:r w:rsidRPr="00F752AE">
              <w:rPr>
                <w:rFonts w:cstheme="minorHAnsi"/>
                <w:lang w:val="en-US"/>
              </w:rPr>
              <w:t>5</w:t>
            </w:r>
          </w:p>
        </w:tc>
        <w:tc>
          <w:tcPr>
            <w:tcW w:w="8795" w:type="dxa"/>
            <w:shd w:val="clear" w:color="auto" w:fill="F2F2F2" w:themeFill="background1" w:themeFillShade="F2"/>
            <w:vAlign w:val="center"/>
          </w:tcPr>
          <w:p w14:paraId="145672C9" w14:textId="26252832" w:rsidR="004F19A1" w:rsidRPr="00F752AE" w:rsidRDefault="00F7413F" w:rsidP="004F19A1">
            <w:pPr>
              <w:rPr>
                <w:rFonts w:cstheme="minorHAnsi"/>
                <w:lang w:val="en-US"/>
              </w:rPr>
            </w:pPr>
            <w:r>
              <w:t>It is recommended that Figure 2.2 be relocated under this section or that a reference to Figure 2.2 be attached at the end of the report.</w:t>
            </w:r>
          </w:p>
        </w:tc>
        <w:tc>
          <w:tcPr>
            <w:tcW w:w="1208" w:type="dxa"/>
            <w:shd w:val="clear" w:color="auto" w:fill="F2F2F2" w:themeFill="background1" w:themeFillShade="F2"/>
            <w:vAlign w:val="center"/>
          </w:tcPr>
          <w:p w14:paraId="537E548C" w14:textId="6EE2337B"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307E5C4C" w14:textId="021B3103" w:rsidR="004F19A1" w:rsidRPr="00F752AE" w:rsidRDefault="00F7413F" w:rsidP="004F19A1">
            <w:pPr>
              <w:rPr>
                <w:rFonts w:cstheme="minorHAnsi"/>
                <w:lang w:val="en-US"/>
              </w:rPr>
            </w:pPr>
            <w:r>
              <w:t>Acknowledged. It is noted that this comment has no bearing on the findings of our previously stated conclusions and recommendations.</w:t>
            </w:r>
          </w:p>
        </w:tc>
      </w:tr>
      <w:tr w:rsidR="004F19A1" w:rsidRPr="00F752AE" w14:paraId="67270097" w14:textId="77777777" w:rsidTr="009E6D92">
        <w:tc>
          <w:tcPr>
            <w:tcW w:w="560" w:type="dxa"/>
            <w:shd w:val="clear" w:color="auto" w:fill="F2F2F2" w:themeFill="background1" w:themeFillShade="F2"/>
            <w:vAlign w:val="center"/>
          </w:tcPr>
          <w:p w14:paraId="0A45332C" w14:textId="77777777" w:rsidR="004F19A1" w:rsidRPr="00F752AE" w:rsidRDefault="004F19A1" w:rsidP="004F19A1">
            <w:pPr>
              <w:rPr>
                <w:rFonts w:cstheme="minorHAnsi"/>
                <w:lang w:val="en-US"/>
              </w:rPr>
            </w:pPr>
            <w:r w:rsidRPr="00F752AE">
              <w:rPr>
                <w:rFonts w:cstheme="minorHAnsi"/>
                <w:lang w:val="en-US"/>
              </w:rPr>
              <w:t>6</w:t>
            </w:r>
          </w:p>
        </w:tc>
        <w:tc>
          <w:tcPr>
            <w:tcW w:w="8795" w:type="dxa"/>
            <w:shd w:val="clear" w:color="auto" w:fill="F2F2F2" w:themeFill="background1" w:themeFillShade="F2"/>
            <w:vAlign w:val="center"/>
          </w:tcPr>
          <w:p w14:paraId="6FBE0BC5" w14:textId="0B2EA2E0" w:rsidR="004F19A1" w:rsidRPr="00F752AE" w:rsidRDefault="00F7413F" w:rsidP="004F19A1">
            <w:pPr>
              <w:rPr>
                <w:rFonts w:cstheme="minorHAnsi"/>
                <w:lang w:val="en-US"/>
              </w:rPr>
            </w:pPr>
            <w:r>
              <w:t>The HCM 2000 unsignalized intersections traffic operational criteria will be added to a new table.</w:t>
            </w:r>
          </w:p>
        </w:tc>
        <w:tc>
          <w:tcPr>
            <w:tcW w:w="1208" w:type="dxa"/>
            <w:shd w:val="clear" w:color="auto" w:fill="F2F2F2" w:themeFill="background1" w:themeFillShade="F2"/>
            <w:vAlign w:val="center"/>
          </w:tcPr>
          <w:p w14:paraId="68D6667F" w14:textId="76DDE912"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0426FF91" w14:textId="5C495FE6" w:rsidR="004F19A1" w:rsidRPr="00F752AE" w:rsidRDefault="00F7413F" w:rsidP="004F19A1">
            <w:pPr>
              <w:rPr>
                <w:rFonts w:cstheme="minorHAnsi"/>
                <w:lang w:val="en-US"/>
              </w:rPr>
            </w:pPr>
            <w:r>
              <w:t xml:space="preserve">Acknowledged. It is noted that this is an informational comment that does not affect the conclusions or </w:t>
            </w:r>
            <w:r>
              <w:lastRenderedPageBreak/>
              <w:t>recommendations of our study. Based on the results of the Future Total Traffic Assessment, all movements of the study area intersections analyzed are projected to operate with volume to capacity ratios below 0.40, with levels of service (LOS) B or greater, with no delay exceeding 12 seconds and with 95th percentile queue lengths shorter than 2m during both AM and PM peak hour. Based on the County’s Traffic Impact Assessment Guidelines, all unsignalized public road study intersections must operate with an acceptable LOS ‘E’ or better, with an average delay of 80 seconds of delay per vehicle (s/</w:t>
            </w:r>
            <w:proofErr w:type="spellStart"/>
            <w:r>
              <w:t>veh</w:t>
            </w:r>
            <w:proofErr w:type="spellEnd"/>
            <w:r>
              <w:t>) and must operate with a v/c ratio of less than or equal to 0.85. Furthermore, the County’s TIA Guidelines state that 95th percentile queue lengths must not exceed the storage capacity of existing auxiliary lanes. Given that the Future Total traffic analysis conforms to the County’s TIA Guideline standards, our previously stated conclusions remain.</w:t>
            </w:r>
          </w:p>
        </w:tc>
      </w:tr>
      <w:tr w:rsidR="004F19A1" w:rsidRPr="00F752AE" w14:paraId="78321E93" w14:textId="77777777" w:rsidTr="009E6D92">
        <w:tc>
          <w:tcPr>
            <w:tcW w:w="560" w:type="dxa"/>
            <w:shd w:val="clear" w:color="auto" w:fill="F2F2F2" w:themeFill="background1" w:themeFillShade="F2"/>
            <w:vAlign w:val="center"/>
          </w:tcPr>
          <w:p w14:paraId="5E4E936B" w14:textId="77777777" w:rsidR="004F19A1" w:rsidRPr="00F752AE" w:rsidRDefault="004F19A1" w:rsidP="004F19A1">
            <w:pPr>
              <w:rPr>
                <w:rFonts w:cstheme="minorHAnsi"/>
                <w:lang w:val="en-US"/>
              </w:rPr>
            </w:pPr>
            <w:r w:rsidRPr="00F752AE">
              <w:rPr>
                <w:rFonts w:cstheme="minorHAnsi"/>
                <w:lang w:val="en-US"/>
              </w:rPr>
              <w:lastRenderedPageBreak/>
              <w:t>7</w:t>
            </w:r>
          </w:p>
        </w:tc>
        <w:tc>
          <w:tcPr>
            <w:tcW w:w="8795" w:type="dxa"/>
            <w:shd w:val="clear" w:color="auto" w:fill="F2F2F2" w:themeFill="background1" w:themeFillShade="F2"/>
            <w:vAlign w:val="center"/>
          </w:tcPr>
          <w:p w14:paraId="0209BB84" w14:textId="02657E6F" w:rsidR="004F19A1" w:rsidRPr="00F752AE" w:rsidRDefault="00F7413F" w:rsidP="004F19A1">
            <w:pPr>
              <w:rPr>
                <w:rFonts w:cstheme="minorHAnsi"/>
                <w:lang w:val="en-US"/>
              </w:rPr>
            </w:pPr>
            <w:r>
              <w:t>The actual peak hours used should be discussed. Also, was a common peak hour across all intersections derived/assumed for each period?</w:t>
            </w:r>
          </w:p>
        </w:tc>
        <w:tc>
          <w:tcPr>
            <w:tcW w:w="1208" w:type="dxa"/>
            <w:shd w:val="clear" w:color="auto" w:fill="F2F2F2" w:themeFill="background1" w:themeFillShade="F2"/>
            <w:vAlign w:val="center"/>
          </w:tcPr>
          <w:p w14:paraId="4A6B73CB" w14:textId="3A434D41"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17461F79" w14:textId="6235FA8A" w:rsidR="004F19A1" w:rsidRPr="00F752AE" w:rsidRDefault="00F7413F" w:rsidP="004F19A1">
            <w:pPr>
              <w:rPr>
                <w:rFonts w:cstheme="minorHAnsi"/>
                <w:lang w:val="en-US"/>
              </w:rPr>
            </w:pPr>
            <w:r>
              <w:t>Appendix B of our previous reporting provided the detailed traffic data collection sheets. Morning peak period data was collected between 7AM and 10AM, and afternoon peak period traffic data was collected between 4PM and 7PM. The AM and PM peak hours varied per intersection, and as noted in our previous reporting, the peak hour factor (PHF) was calculated per intersection, per peak hour. The Synchro reports enclosed in Appendices C, D and E all detail the PHF used per intersection.</w:t>
            </w:r>
          </w:p>
        </w:tc>
      </w:tr>
      <w:tr w:rsidR="004F19A1" w:rsidRPr="00F752AE" w14:paraId="6B283468" w14:textId="77777777" w:rsidTr="009E6D92">
        <w:tc>
          <w:tcPr>
            <w:tcW w:w="560" w:type="dxa"/>
            <w:shd w:val="clear" w:color="auto" w:fill="F2F2F2" w:themeFill="background1" w:themeFillShade="F2"/>
            <w:vAlign w:val="center"/>
          </w:tcPr>
          <w:p w14:paraId="35CBE164" w14:textId="77777777" w:rsidR="004F19A1" w:rsidRPr="00F752AE" w:rsidRDefault="004F19A1" w:rsidP="004F19A1">
            <w:pPr>
              <w:rPr>
                <w:rFonts w:cstheme="minorHAnsi"/>
                <w:lang w:val="en-US"/>
              </w:rPr>
            </w:pPr>
            <w:r w:rsidRPr="00F752AE">
              <w:rPr>
                <w:rFonts w:cstheme="minorHAnsi"/>
                <w:lang w:val="en-US"/>
              </w:rPr>
              <w:t>8</w:t>
            </w:r>
          </w:p>
        </w:tc>
        <w:tc>
          <w:tcPr>
            <w:tcW w:w="8795" w:type="dxa"/>
            <w:shd w:val="clear" w:color="auto" w:fill="F2F2F2" w:themeFill="background1" w:themeFillShade="F2"/>
            <w:vAlign w:val="center"/>
          </w:tcPr>
          <w:p w14:paraId="078265A9" w14:textId="4F04EA44" w:rsidR="004F19A1" w:rsidRPr="00F752AE" w:rsidRDefault="00F7413F" w:rsidP="004F19A1">
            <w:pPr>
              <w:rPr>
                <w:rFonts w:cstheme="minorHAnsi"/>
                <w:lang w:val="en-US"/>
              </w:rPr>
            </w:pPr>
            <w:r>
              <w:t>Future scenarios and horizon years should be identified.</w:t>
            </w:r>
          </w:p>
        </w:tc>
        <w:tc>
          <w:tcPr>
            <w:tcW w:w="1208" w:type="dxa"/>
            <w:shd w:val="clear" w:color="auto" w:fill="F2F2F2" w:themeFill="background1" w:themeFillShade="F2"/>
            <w:vAlign w:val="center"/>
          </w:tcPr>
          <w:p w14:paraId="3082A9DC" w14:textId="7DBE97F2"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1FBB2FDF" w14:textId="48157282" w:rsidR="004F19A1" w:rsidRPr="00F752AE" w:rsidRDefault="00F7413F" w:rsidP="004F19A1">
            <w:pPr>
              <w:rPr>
                <w:rFonts w:cstheme="minorHAnsi"/>
                <w:lang w:val="en-US"/>
              </w:rPr>
            </w:pPr>
            <w:r>
              <w:t>A 5-year horizon from the baseline year was used. Given that the original report was prepared in early 2024, a horizon year of 2029 was assessed for future traffic scenarios.</w:t>
            </w:r>
          </w:p>
        </w:tc>
      </w:tr>
      <w:tr w:rsidR="004F19A1" w:rsidRPr="00F752AE" w14:paraId="5769C74F" w14:textId="77777777" w:rsidTr="009E6D92">
        <w:tc>
          <w:tcPr>
            <w:tcW w:w="560" w:type="dxa"/>
            <w:shd w:val="clear" w:color="auto" w:fill="F2F2F2" w:themeFill="background1" w:themeFillShade="F2"/>
            <w:vAlign w:val="center"/>
          </w:tcPr>
          <w:p w14:paraId="006F750B" w14:textId="77777777" w:rsidR="004F19A1" w:rsidRPr="00F752AE" w:rsidRDefault="004F19A1" w:rsidP="004F19A1">
            <w:pPr>
              <w:rPr>
                <w:rFonts w:cstheme="minorHAnsi"/>
                <w:lang w:val="en-US"/>
              </w:rPr>
            </w:pPr>
            <w:r w:rsidRPr="00F752AE">
              <w:rPr>
                <w:rFonts w:cstheme="minorHAnsi"/>
                <w:lang w:val="en-US"/>
              </w:rPr>
              <w:t>9</w:t>
            </w:r>
          </w:p>
        </w:tc>
        <w:tc>
          <w:tcPr>
            <w:tcW w:w="8795" w:type="dxa"/>
            <w:shd w:val="clear" w:color="auto" w:fill="F2F2F2" w:themeFill="background1" w:themeFillShade="F2"/>
            <w:vAlign w:val="center"/>
          </w:tcPr>
          <w:p w14:paraId="71E5AA10" w14:textId="15D1E5C1" w:rsidR="004F19A1" w:rsidRPr="00F752AE" w:rsidRDefault="00F7413F" w:rsidP="004F19A1">
            <w:pPr>
              <w:rPr>
                <w:rFonts w:cstheme="minorHAnsi"/>
                <w:lang w:val="en-US"/>
              </w:rPr>
            </w:pPr>
            <w:r>
              <w:t>AADT data within the study area that has been used to identify the growth rate to be referenced, also Suggest adding that 2% growth rate as per County TIA guidelines and clarify if the 2% is compounded as per guidelines</w:t>
            </w:r>
          </w:p>
        </w:tc>
        <w:tc>
          <w:tcPr>
            <w:tcW w:w="1208" w:type="dxa"/>
            <w:shd w:val="clear" w:color="auto" w:fill="F2F2F2" w:themeFill="background1" w:themeFillShade="F2"/>
            <w:vAlign w:val="center"/>
          </w:tcPr>
          <w:p w14:paraId="12BA0FBE" w14:textId="13D8092A"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06FA9D1B" w14:textId="3E794FB8" w:rsidR="004F19A1" w:rsidRPr="00F752AE" w:rsidRDefault="00F7413F" w:rsidP="004F19A1">
            <w:pPr>
              <w:rPr>
                <w:rFonts w:cstheme="minorHAnsi"/>
                <w:lang w:val="en-US"/>
              </w:rPr>
            </w:pPr>
            <w:r>
              <w:t>As noted in our original reporting, a 2% growth rate, compounded per annum was utilized to project future traffic growth in the area</w:t>
            </w:r>
          </w:p>
        </w:tc>
      </w:tr>
      <w:tr w:rsidR="004F19A1" w:rsidRPr="00F752AE" w14:paraId="6C6A1623" w14:textId="77777777" w:rsidTr="009E6D92">
        <w:tc>
          <w:tcPr>
            <w:tcW w:w="560" w:type="dxa"/>
            <w:shd w:val="clear" w:color="auto" w:fill="F2F2F2" w:themeFill="background1" w:themeFillShade="F2"/>
            <w:vAlign w:val="center"/>
          </w:tcPr>
          <w:p w14:paraId="10100BE0" w14:textId="77777777" w:rsidR="004F19A1" w:rsidRPr="00F752AE" w:rsidRDefault="004F19A1" w:rsidP="004F19A1">
            <w:pPr>
              <w:rPr>
                <w:rFonts w:cstheme="minorHAnsi"/>
                <w:lang w:val="en-US"/>
              </w:rPr>
            </w:pPr>
            <w:r w:rsidRPr="00F752AE">
              <w:rPr>
                <w:rFonts w:cstheme="minorHAnsi"/>
                <w:lang w:val="en-US"/>
              </w:rPr>
              <w:t>10</w:t>
            </w:r>
          </w:p>
        </w:tc>
        <w:tc>
          <w:tcPr>
            <w:tcW w:w="8795" w:type="dxa"/>
            <w:shd w:val="clear" w:color="auto" w:fill="F2F2F2" w:themeFill="background1" w:themeFillShade="F2"/>
            <w:vAlign w:val="center"/>
          </w:tcPr>
          <w:p w14:paraId="21C2255E" w14:textId="68549C66" w:rsidR="004F19A1" w:rsidRPr="00F752AE" w:rsidRDefault="00F7413F" w:rsidP="004F19A1">
            <w:pPr>
              <w:rPr>
                <w:rFonts w:cstheme="minorHAnsi"/>
                <w:lang w:val="en-US"/>
              </w:rPr>
            </w:pPr>
            <w:r>
              <w:t xml:space="preserve"> It is recommended that Figure 3.1 be relocated under this section, or </w:t>
            </w:r>
            <w:proofErr w:type="spellStart"/>
            <w:r>
              <w:t>ther</w:t>
            </w:r>
            <w:proofErr w:type="spellEnd"/>
            <w:r>
              <w:t xml:space="preserve"> should be a reference that Fig 3.2 is attached at the end of the report</w:t>
            </w:r>
          </w:p>
        </w:tc>
        <w:tc>
          <w:tcPr>
            <w:tcW w:w="1208" w:type="dxa"/>
            <w:shd w:val="clear" w:color="auto" w:fill="F2F2F2" w:themeFill="background1" w:themeFillShade="F2"/>
            <w:vAlign w:val="center"/>
          </w:tcPr>
          <w:p w14:paraId="30205A65" w14:textId="61E4599C"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6438A6F6" w14:textId="3FFC7AC1" w:rsidR="004F19A1" w:rsidRPr="00F752AE" w:rsidRDefault="00F7413F" w:rsidP="004F19A1">
            <w:pPr>
              <w:rPr>
                <w:rFonts w:cstheme="minorHAnsi"/>
                <w:lang w:val="en-US"/>
              </w:rPr>
            </w:pPr>
            <w:r>
              <w:t xml:space="preserve">Acknowledged. It is noted that this comment has no bearing on the findings </w:t>
            </w:r>
            <w:r>
              <w:lastRenderedPageBreak/>
              <w:t>of our previously stated conclusions and recommendations.</w:t>
            </w:r>
          </w:p>
        </w:tc>
      </w:tr>
      <w:tr w:rsidR="004F19A1" w:rsidRPr="00F752AE" w14:paraId="212DD701" w14:textId="77777777" w:rsidTr="009E6D92">
        <w:tc>
          <w:tcPr>
            <w:tcW w:w="560" w:type="dxa"/>
            <w:shd w:val="clear" w:color="auto" w:fill="F2F2F2" w:themeFill="background1" w:themeFillShade="F2"/>
            <w:vAlign w:val="center"/>
          </w:tcPr>
          <w:p w14:paraId="3CE036B3" w14:textId="77777777" w:rsidR="004F19A1" w:rsidRPr="00F752AE" w:rsidRDefault="004F19A1" w:rsidP="004F19A1">
            <w:pPr>
              <w:rPr>
                <w:rFonts w:cstheme="minorHAnsi"/>
                <w:lang w:val="en-US"/>
              </w:rPr>
            </w:pPr>
            <w:r w:rsidRPr="00F752AE">
              <w:rPr>
                <w:rFonts w:cstheme="minorHAnsi"/>
                <w:lang w:val="en-US"/>
              </w:rPr>
              <w:lastRenderedPageBreak/>
              <w:t>11</w:t>
            </w:r>
          </w:p>
        </w:tc>
        <w:tc>
          <w:tcPr>
            <w:tcW w:w="8795" w:type="dxa"/>
            <w:shd w:val="clear" w:color="auto" w:fill="F2F2F2" w:themeFill="background1" w:themeFillShade="F2"/>
            <w:vAlign w:val="center"/>
          </w:tcPr>
          <w:p w14:paraId="170AF617" w14:textId="7D933498" w:rsidR="004F19A1" w:rsidRPr="00F752AE" w:rsidRDefault="00F7413F" w:rsidP="004F19A1">
            <w:pPr>
              <w:rPr>
                <w:rFonts w:cstheme="minorHAnsi"/>
                <w:lang w:val="en-US"/>
              </w:rPr>
            </w:pPr>
            <w:r>
              <w:t>What is the split of the lots between east and west parcels?</w:t>
            </w:r>
          </w:p>
        </w:tc>
        <w:tc>
          <w:tcPr>
            <w:tcW w:w="1208" w:type="dxa"/>
            <w:shd w:val="clear" w:color="auto" w:fill="F2F2F2" w:themeFill="background1" w:themeFillShade="F2"/>
            <w:vAlign w:val="center"/>
          </w:tcPr>
          <w:p w14:paraId="1A8FA002" w14:textId="104EAF35"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12FA236D" w14:textId="513E99D2" w:rsidR="004F19A1" w:rsidRPr="00F752AE" w:rsidRDefault="00F7413F" w:rsidP="004F19A1">
            <w:pPr>
              <w:rPr>
                <w:rFonts w:cstheme="minorHAnsi"/>
                <w:lang w:val="en-US"/>
              </w:rPr>
            </w:pPr>
            <w:r>
              <w:t>As noted previously in our reporting, there is an environmental feature that separates the east and west parcel</w:t>
            </w:r>
          </w:p>
        </w:tc>
      </w:tr>
      <w:tr w:rsidR="004F19A1" w:rsidRPr="00F752AE" w14:paraId="6D608F95" w14:textId="77777777" w:rsidTr="009E6D92">
        <w:tc>
          <w:tcPr>
            <w:tcW w:w="560" w:type="dxa"/>
            <w:shd w:val="clear" w:color="auto" w:fill="F2F2F2" w:themeFill="background1" w:themeFillShade="F2"/>
            <w:vAlign w:val="center"/>
          </w:tcPr>
          <w:p w14:paraId="769E02FF" w14:textId="77777777" w:rsidR="004F19A1" w:rsidRPr="00F752AE" w:rsidRDefault="004F19A1" w:rsidP="004F19A1">
            <w:pPr>
              <w:rPr>
                <w:rFonts w:cstheme="minorHAnsi"/>
                <w:lang w:val="en-US"/>
              </w:rPr>
            </w:pPr>
            <w:r w:rsidRPr="00F752AE">
              <w:rPr>
                <w:rFonts w:cstheme="minorHAnsi"/>
                <w:lang w:val="en-US"/>
              </w:rPr>
              <w:t>12</w:t>
            </w:r>
          </w:p>
        </w:tc>
        <w:tc>
          <w:tcPr>
            <w:tcW w:w="8795" w:type="dxa"/>
            <w:shd w:val="clear" w:color="auto" w:fill="F2F2F2" w:themeFill="background1" w:themeFillShade="F2"/>
            <w:vAlign w:val="center"/>
          </w:tcPr>
          <w:p w14:paraId="25533992" w14:textId="4FA55E31" w:rsidR="004F19A1" w:rsidRPr="00F752AE" w:rsidRDefault="00F7413F" w:rsidP="004F19A1">
            <w:pPr>
              <w:rPr>
                <w:rFonts w:cstheme="minorHAnsi"/>
                <w:lang w:val="en-US"/>
              </w:rPr>
            </w:pPr>
            <w:r>
              <w:t>In Table 4.1 what are gross rates different between east/west parcels if LUC 210 is being used for both</w:t>
            </w:r>
          </w:p>
        </w:tc>
        <w:tc>
          <w:tcPr>
            <w:tcW w:w="1208" w:type="dxa"/>
            <w:shd w:val="clear" w:color="auto" w:fill="F2F2F2" w:themeFill="background1" w:themeFillShade="F2"/>
            <w:vAlign w:val="center"/>
          </w:tcPr>
          <w:p w14:paraId="04D455CF" w14:textId="35A44F8F"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60EC896A" w14:textId="39E87BA9" w:rsidR="004F19A1" w:rsidRPr="00F752AE" w:rsidRDefault="00F7413F" w:rsidP="004F19A1">
            <w:pPr>
              <w:rPr>
                <w:rFonts w:cstheme="minorHAnsi"/>
                <w:lang w:val="en-US"/>
              </w:rPr>
            </w:pPr>
            <w:r>
              <w:t>It is to be noted that trip generation was calculated separately for the east and west parcels, resulting in a difference of gross rate.</w:t>
            </w:r>
          </w:p>
        </w:tc>
      </w:tr>
      <w:tr w:rsidR="004F19A1" w:rsidRPr="00F752AE" w14:paraId="57F3E282" w14:textId="77777777" w:rsidTr="009E6D92">
        <w:tc>
          <w:tcPr>
            <w:tcW w:w="560" w:type="dxa"/>
            <w:shd w:val="clear" w:color="auto" w:fill="F2F2F2" w:themeFill="background1" w:themeFillShade="F2"/>
            <w:vAlign w:val="center"/>
          </w:tcPr>
          <w:p w14:paraId="2C712C6F" w14:textId="77777777" w:rsidR="004F19A1" w:rsidRPr="00F752AE" w:rsidRDefault="004F19A1" w:rsidP="004F19A1">
            <w:pPr>
              <w:rPr>
                <w:rFonts w:cstheme="minorHAnsi"/>
                <w:lang w:val="en-US"/>
              </w:rPr>
            </w:pPr>
            <w:r w:rsidRPr="00F752AE">
              <w:rPr>
                <w:rFonts w:cstheme="minorHAnsi"/>
                <w:lang w:val="en-US"/>
              </w:rPr>
              <w:t>13</w:t>
            </w:r>
          </w:p>
        </w:tc>
        <w:tc>
          <w:tcPr>
            <w:tcW w:w="8795" w:type="dxa"/>
            <w:shd w:val="clear" w:color="auto" w:fill="F2F2F2" w:themeFill="background1" w:themeFillShade="F2"/>
            <w:vAlign w:val="center"/>
          </w:tcPr>
          <w:p w14:paraId="3DE79819" w14:textId="0BF47A77" w:rsidR="004F19A1" w:rsidRPr="00F752AE" w:rsidRDefault="00F7413F" w:rsidP="004F19A1">
            <w:pPr>
              <w:rPr>
                <w:rFonts w:cstheme="minorHAnsi"/>
                <w:lang w:val="en-US"/>
              </w:rPr>
            </w:pPr>
            <w:r>
              <w:t>Please relocated Figure 4.1 after Table 4.2, or there should be a reference that Fig 4.1 is attached at the end of the report.</w:t>
            </w:r>
          </w:p>
        </w:tc>
        <w:tc>
          <w:tcPr>
            <w:tcW w:w="1208" w:type="dxa"/>
            <w:shd w:val="clear" w:color="auto" w:fill="F2F2F2" w:themeFill="background1" w:themeFillShade="F2"/>
            <w:vAlign w:val="center"/>
          </w:tcPr>
          <w:p w14:paraId="78C2C2FB" w14:textId="7B8CE97A"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62BF1776" w14:textId="772F7AB7" w:rsidR="004F19A1" w:rsidRPr="00F752AE" w:rsidRDefault="00F7413F" w:rsidP="004F19A1">
            <w:pPr>
              <w:rPr>
                <w:rFonts w:cstheme="minorHAnsi"/>
                <w:lang w:val="en-US"/>
              </w:rPr>
            </w:pPr>
            <w:r>
              <w:t>As noted previously in our reporting, there is an environmental feature that separates the east and west parcels.</w:t>
            </w:r>
          </w:p>
        </w:tc>
      </w:tr>
      <w:tr w:rsidR="004F19A1" w:rsidRPr="00F752AE" w14:paraId="4364529A" w14:textId="77777777" w:rsidTr="009E6D92">
        <w:tc>
          <w:tcPr>
            <w:tcW w:w="560" w:type="dxa"/>
            <w:shd w:val="clear" w:color="auto" w:fill="F2F2F2" w:themeFill="background1" w:themeFillShade="F2"/>
            <w:vAlign w:val="center"/>
          </w:tcPr>
          <w:p w14:paraId="42456A7F" w14:textId="77777777" w:rsidR="004F19A1" w:rsidRPr="00F752AE" w:rsidRDefault="004F19A1" w:rsidP="004F19A1">
            <w:pPr>
              <w:rPr>
                <w:rFonts w:cstheme="minorHAnsi"/>
                <w:lang w:val="en-US"/>
              </w:rPr>
            </w:pPr>
            <w:r w:rsidRPr="00F752AE">
              <w:rPr>
                <w:rFonts w:cstheme="minorHAnsi"/>
                <w:lang w:val="en-US"/>
              </w:rPr>
              <w:t>14</w:t>
            </w:r>
          </w:p>
        </w:tc>
        <w:tc>
          <w:tcPr>
            <w:tcW w:w="8795" w:type="dxa"/>
            <w:shd w:val="clear" w:color="auto" w:fill="F2F2F2" w:themeFill="background1" w:themeFillShade="F2"/>
            <w:vAlign w:val="center"/>
          </w:tcPr>
          <w:p w14:paraId="0D4012E5" w14:textId="53EA2D81" w:rsidR="004F19A1" w:rsidRPr="00F752AE" w:rsidRDefault="00F7413F" w:rsidP="004F19A1">
            <w:pPr>
              <w:rPr>
                <w:rFonts w:cstheme="minorHAnsi"/>
                <w:lang w:val="en-US"/>
              </w:rPr>
            </w:pPr>
            <w:r>
              <w:t xml:space="preserve"> It is recommended to relocated Figure 5.1 before Table 5.1, or there should be a reference that Fig 5.1 is attached at the end of the report</w:t>
            </w:r>
          </w:p>
        </w:tc>
        <w:tc>
          <w:tcPr>
            <w:tcW w:w="1208" w:type="dxa"/>
            <w:shd w:val="clear" w:color="auto" w:fill="F2F2F2" w:themeFill="background1" w:themeFillShade="F2"/>
            <w:vAlign w:val="center"/>
          </w:tcPr>
          <w:p w14:paraId="6E219290" w14:textId="67E5E6ED"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19008112" w14:textId="4CD25102" w:rsidR="004F19A1" w:rsidRPr="00F752AE" w:rsidRDefault="00F7413F" w:rsidP="004F19A1">
            <w:pPr>
              <w:rPr>
                <w:rFonts w:cstheme="minorHAnsi"/>
                <w:lang w:val="en-US"/>
              </w:rPr>
            </w:pPr>
            <w:r>
              <w:t>Acknowledged. It is noted that this comment has no bearing on the findings of our previously stated conclusions and recommendations.</w:t>
            </w:r>
          </w:p>
        </w:tc>
      </w:tr>
      <w:tr w:rsidR="004F19A1" w:rsidRPr="00F752AE" w14:paraId="2A93ADDC" w14:textId="77777777" w:rsidTr="009E6D92">
        <w:tc>
          <w:tcPr>
            <w:tcW w:w="560" w:type="dxa"/>
            <w:shd w:val="clear" w:color="auto" w:fill="F2F2F2" w:themeFill="background1" w:themeFillShade="F2"/>
            <w:vAlign w:val="center"/>
          </w:tcPr>
          <w:p w14:paraId="7AC1A739" w14:textId="77777777" w:rsidR="004F19A1" w:rsidRPr="00F752AE" w:rsidRDefault="004F19A1" w:rsidP="004F19A1">
            <w:pPr>
              <w:rPr>
                <w:rFonts w:cstheme="minorHAnsi"/>
                <w:lang w:val="en-US"/>
              </w:rPr>
            </w:pPr>
            <w:r w:rsidRPr="00F752AE">
              <w:rPr>
                <w:rFonts w:cstheme="minorHAnsi"/>
                <w:lang w:val="en-US"/>
              </w:rPr>
              <w:t>15</w:t>
            </w:r>
          </w:p>
        </w:tc>
        <w:tc>
          <w:tcPr>
            <w:tcW w:w="8795" w:type="dxa"/>
            <w:shd w:val="clear" w:color="auto" w:fill="F2F2F2" w:themeFill="background1" w:themeFillShade="F2"/>
            <w:vAlign w:val="center"/>
          </w:tcPr>
          <w:p w14:paraId="15CAD4EE" w14:textId="214DFC57" w:rsidR="004F19A1" w:rsidRPr="00F752AE" w:rsidRDefault="00F7413F" w:rsidP="004F19A1">
            <w:pPr>
              <w:rPr>
                <w:rFonts w:cstheme="minorHAnsi"/>
                <w:lang w:val="en-US"/>
              </w:rPr>
            </w:pPr>
            <w:r>
              <w:t>Have or will these 59 spaces be provided (i.e. 1 per residence)?</w:t>
            </w:r>
          </w:p>
        </w:tc>
        <w:tc>
          <w:tcPr>
            <w:tcW w:w="1208" w:type="dxa"/>
            <w:shd w:val="clear" w:color="auto" w:fill="F2F2F2" w:themeFill="background1" w:themeFillShade="F2"/>
            <w:vAlign w:val="center"/>
          </w:tcPr>
          <w:p w14:paraId="21577DAA" w14:textId="79D90ACE" w:rsidR="004F19A1"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347C9603" w14:textId="72B65F6F" w:rsidR="004F19A1" w:rsidRPr="00F752AE" w:rsidRDefault="00F7413F" w:rsidP="004F19A1">
            <w:pPr>
              <w:rPr>
                <w:rFonts w:cstheme="minorHAnsi"/>
                <w:lang w:val="en-US"/>
              </w:rPr>
            </w:pPr>
            <w:r>
              <w:t>Acknowledged. The detailed parking supply will be confirmed at SPA.</w:t>
            </w:r>
          </w:p>
        </w:tc>
      </w:tr>
      <w:tr w:rsidR="00F7413F" w:rsidRPr="00F752AE" w14:paraId="1051589A" w14:textId="77777777" w:rsidTr="009E6D92">
        <w:tc>
          <w:tcPr>
            <w:tcW w:w="560" w:type="dxa"/>
            <w:shd w:val="clear" w:color="auto" w:fill="F2F2F2" w:themeFill="background1" w:themeFillShade="F2"/>
            <w:vAlign w:val="center"/>
          </w:tcPr>
          <w:p w14:paraId="79DC3A4C" w14:textId="35304868" w:rsidR="00F7413F" w:rsidRPr="00F752AE" w:rsidRDefault="00F7413F" w:rsidP="004F19A1">
            <w:pPr>
              <w:rPr>
                <w:rFonts w:cstheme="minorHAnsi"/>
                <w:lang w:val="en-US"/>
              </w:rPr>
            </w:pPr>
            <w:r>
              <w:rPr>
                <w:rFonts w:cstheme="minorHAnsi"/>
                <w:lang w:val="en-US"/>
              </w:rPr>
              <w:t>16</w:t>
            </w:r>
          </w:p>
        </w:tc>
        <w:tc>
          <w:tcPr>
            <w:tcW w:w="8795" w:type="dxa"/>
            <w:shd w:val="clear" w:color="auto" w:fill="F2F2F2" w:themeFill="background1" w:themeFillShade="F2"/>
            <w:vAlign w:val="center"/>
          </w:tcPr>
          <w:p w14:paraId="10B56C39" w14:textId="1FE03CD8" w:rsidR="00F7413F" w:rsidRPr="00F752AE" w:rsidRDefault="00F7413F" w:rsidP="004F19A1">
            <w:pPr>
              <w:rPr>
                <w:rFonts w:cstheme="minorHAnsi"/>
                <w:lang w:val="en-US"/>
              </w:rPr>
            </w:pPr>
            <w:r>
              <w:t>There should be a reference to Fig 7.1 is attached at the end of the report.</w:t>
            </w:r>
          </w:p>
        </w:tc>
        <w:tc>
          <w:tcPr>
            <w:tcW w:w="1208" w:type="dxa"/>
            <w:shd w:val="clear" w:color="auto" w:fill="F2F2F2" w:themeFill="background1" w:themeFillShade="F2"/>
            <w:vAlign w:val="center"/>
          </w:tcPr>
          <w:p w14:paraId="1B058EDE" w14:textId="16807294" w:rsidR="00F7413F"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3F468B0D" w14:textId="7EBFE026" w:rsidR="00F7413F" w:rsidRPr="00F752AE" w:rsidRDefault="00F7413F" w:rsidP="004F19A1">
            <w:pPr>
              <w:rPr>
                <w:rFonts w:cstheme="minorHAnsi"/>
                <w:lang w:val="en-US"/>
              </w:rPr>
            </w:pPr>
            <w:r>
              <w:t>Acknowledged. It is noted that this comment has no bearing on the findings of our previously stated conclusions and recommendations.</w:t>
            </w:r>
          </w:p>
        </w:tc>
      </w:tr>
      <w:tr w:rsidR="00F7413F" w:rsidRPr="00F752AE" w14:paraId="4BE66BF3" w14:textId="77777777" w:rsidTr="009E6D92">
        <w:tc>
          <w:tcPr>
            <w:tcW w:w="560" w:type="dxa"/>
            <w:shd w:val="clear" w:color="auto" w:fill="F2F2F2" w:themeFill="background1" w:themeFillShade="F2"/>
            <w:vAlign w:val="center"/>
          </w:tcPr>
          <w:p w14:paraId="4D7E231D" w14:textId="4CC72326" w:rsidR="00F7413F" w:rsidRPr="00F752AE" w:rsidRDefault="00F7413F" w:rsidP="004F19A1">
            <w:pPr>
              <w:rPr>
                <w:rFonts w:cstheme="minorHAnsi"/>
                <w:lang w:val="en-US"/>
              </w:rPr>
            </w:pPr>
            <w:r>
              <w:rPr>
                <w:rFonts w:cstheme="minorHAnsi"/>
                <w:lang w:val="en-US"/>
              </w:rPr>
              <w:t>17</w:t>
            </w:r>
          </w:p>
        </w:tc>
        <w:tc>
          <w:tcPr>
            <w:tcW w:w="8795" w:type="dxa"/>
            <w:shd w:val="clear" w:color="auto" w:fill="F2F2F2" w:themeFill="background1" w:themeFillShade="F2"/>
            <w:vAlign w:val="center"/>
          </w:tcPr>
          <w:p w14:paraId="7B15E40D" w14:textId="27069691" w:rsidR="00F7413F" w:rsidRPr="00F752AE" w:rsidRDefault="00F7413F" w:rsidP="004F19A1">
            <w:pPr>
              <w:rPr>
                <w:rFonts w:cstheme="minorHAnsi"/>
                <w:lang w:val="en-US"/>
              </w:rPr>
            </w:pPr>
            <w:r>
              <w:t>Please include a section to discuss the sight distances for the accesses</w:t>
            </w:r>
          </w:p>
        </w:tc>
        <w:tc>
          <w:tcPr>
            <w:tcW w:w="1208" w:type="dxa"/>
            <w:shd w:val="clear" w:color="auto" w:fill="F2F2F2" w:themeFill="background1" w:themeFillShade="F2"/>
            <w:vAlign w:val="center"/>
          </w:tcPr>
          <w:p w14:paraId="11DAC2BB" w14:textId="58B8676A" w:rsidR="00F7413F"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106D4B17" w14:textId="04C18E5B" w:rsidR="00F7413F" w:rsidRPr="00F752AE" w:rsidRDefault="00F7413F" w:rsidP="004F19A1">
            <w:pPr>
              <w:rPr>
                <w:rFonts w:cstheme="minorHAnsi"/>
                <w:lang w:val="en-US"/>
              </w:rPr>
            </w:pPr>
            <w:r>
              <w:t>Acknowledged. Sight lines are discussed in Section 2.0 this Addendum.</w:t>
            </w:r>
          </w:p>
        </w:tc>
      </w:tr>
      <w:tr w:rsidR="00F7413F" w:rsidRPr="00F752AE" w14:paraId="7D18E827" w14:textId="77777777" w:rsidTr="009E6D92">
        <w:tc>
          <w:tcPr>
            <w:tcW w:w="560" w:type="dxa"/>
            <w:shd w:val="clear" w:color="auto" w:fill="F2F2F2" w:themeFill="background1" w:themeFillShade="F2"/>
            <w:vAlign w:val="center"/>
          </w:tcPr>
          <w:p w14:paraId="7D75ABD9" w14:textId="1D1CD573" w:rsidR="00F7413F" w:rsidRPr="00F752AE" w:rsidRDefault="00F7413F" w:rsidP="004F19A1">
            <w:pPr>
              <w:rPr>
                <w:rFonts w:cstheme="minorHAnsi"/>
                <w:lang w:val="en-US"/>
              </w:rPr>
            </w:pPr>
            <w:r>
              <w:rPr>
                <w:rFonts w:cstheme="minorHAnsi"/>
                <w:lang w:val="en-US"/>
              </w:rPr>
              <w:t>18</w:t>
            </w:r>
          </w:p>
        </w:tc>
        <w:tc>
          <w:tcPr>
            <w:tcW w:w="8795" w:type="dxa"/>
            <w:shd w:val="clear" w:color="auto" w:fill="F2F2F2" w:themeFill="background1" w:themeFillShade="F2"/>
            <w:vAlign w:val="center"/>
          </w:tcPr>
          <w:p w14:paraId="264EA66F" w14:textId="7938838D" w:rsidR="00F7413F" w:rsidRPr="00F752AE" w:rsidRDefault="00F7413F" w:rsidP="004F19A1">
            <w:pPr>
              <w:rPr>
                <w:rFonts w:cstheme="minorHAnsi"/>
                <w:lang w:val="en-US"/>
              </w:rPr>
            </w:pPr>
            <w:r>
              <w:t>Add split of lots between east and west parcels.</w:t>
            </w:r>
          </w:p>
        </w:tc>
        <w:tc>
          <w:tcPr>
            <w:tcW w:w="1208" w:type="dxa"/>
            <w:shd w:val="clear" w:color="auto" w:fill="F2F2F2" w:themeFill="background1" w:themeFillShade="F2"/>
            <w:vAlign w:val="center"/>
          </w:tcPr>
          <w:p w14:paraId="3253BAE1" w14:textId="7CEED729" w:rsidR="00F7413F" w:rsidRPr="00F752AE" w:rsidRDefault="00980BF9" w:rsidP="004F19A1">
            <w:pPr>
              <w:jc w:val="center"/>
              <w:rPr>
                <w:rFonts w:cstheme="minorHAnsi"/>
                <w:lang w:val="en-US"/>
              </w:rPr>
            </w:pPr>
            <w:proofErr w:type="spellStart"/>
            <w:r w:rsidRPr="00AB57D2">
              <w:rPr>
                <w:rFonts w:cstheme="minorHAnsi"/>
                <w:b/>
                <w:bCs/>
              </w:rPr>
              <w:t>Nextrans</w:t>
            </w:r>
            <w:proofErr w:type="spellEnd"/>
          </w:p>
        </w:tc>
        <w:tc>
          <w:tcPr>
            <w:tcW w:w="3922" w:type="dxa"/>
            <w:shd w:val="clear" w:color="auto" w:fill="F2F2F2" w:themeFill="background1" w:themeFillShade="F2"/>
            <w:vAlign w:val="center"/>
          </w:tcPr>
          <w:p w14:paraId="51351950" w14:textId="74201167" w:rsidR="00F7413F" w:rsidRPr="00F752AE" w:rsidRDefault="00F7413F" w:rsidP="004F19A1">
            <w:pPr>
              <w:rPr>
                <w:rFonts w:cstheme="minorHAnsi"/>
                <w:lang w:val="en-US"/>
              </w:rPr>
            </w:pPr>
            <w:r>
              <w:t>It is to be noted that the analysis was undertaken with the assumption that there would be east and west parcels, and the trip distribution was done accordingly</w:t>
            </w:r>
          </w:p>
        </w:tc>
      </w:tr>
    </w:tbl>
    <w:p w14:paraId="69CA5C82" w14:textId="50FAECCD" w:rsidR="002726E5" w:rsidRPr="00F752AE" w:rsidRDefault="002726E5">
      <w:pPr>
        <w:rPr>
          <w:rFonts w:cstheme="minorHAnsi"/>
          <w:lang w:val="en-US"/>
        </w:rPr>
      </w:pPr>
    </w:p>
    <w:p w14:paraId="455B617E" w14:textId="5DB803A0" w:rsidR="002726E5" w:rsidRPr="00F752AE" w:rsidRDefault="002726E5">
      <w:pPr>
        <w:rPr>
          <w:rFonts w:cstheme="minorHAnsi"/>
          <w:lang w:val="en-US"/>
        </w:rPr>
      </w:pPr>
    </w:p>
    <w:tbl>
      <w:tblPr>
        <w:tblStyle w:val="TableGrid"/>
        <w:tblW w:w="14485" w:type="dxa"/>
        <w:tblLook w:val="04A0" w:firstRow="1" w:lastRow="0" w:firstColumn="1" w:lastColumn="0" w:noHBand="0" w:noVBand="1"/>
      </w:tblPr>
      <w:tblGrid>
        <w:gridCol w:w="560"/>
        <w:gridCol w:w="8795"/>
        <w:gridCol w:w="1208"/>
        <w:gridCol w:w="3922"/>
      </w:tblGrid>
      <w:tr w:rsidR="002726E5" w:rsidRPr="00F752AE" w14:paraId="3F453648" w14:textId="77777777" w:rsidTr="009E6D92">
        <w:trPr>
          <w:tblHeader/>
        </w:trPr>
        <w:tc>
          <w:tcPr>
            <w:tcW w:w="560" w:type="dxa"/>
            <w:shd w:val="clear" w:color="auto" w:fill="767171" w:themeFill="background2" w:themeFillShade="80"/>
            <w:vAlign w:val="center"/>
          </w:tcPr>
          <w:p w14:paraId="1E647713" w14:textId="77777777" w:rsidR="002726E5" w:rsidRPr="00F752AE" w:rsidRDefault="002726E5" w:rsidP="00E01D3D">
            <w:pPr>
              <w:rPr>
                <w:rFonts w:cstheme="minorHAnsi"/>
                <w:b/>
                <w:bCs/>
                <w:color w:val="FFFFFF" w:themeColor="background1"/>
                <w:lang w:val="en-US"/>
              </w:rPr>
            </w:pPr>
          </w:p>
        </w:tc>
        <w:tc>
          <w:tcPr>
            <w:tcW w:w="8795" w:type="dxa"/>
            <w:shd w:val="clear" w:color="auto" w:fill="767171" w:themeFill="background2" w:themeFillShade="80"/>
            <w:vAlign w:val="center"/>
          </w:tcPr>
          <w:p w14:paraId="0F38CC7A" w14:textId="77777777" w:rsidR="002726E5" w:rsidRPr="00F752AE" w:rsidRDefault="002726E5" w:rsidP="00E01D3D">
            <w:pPr>
              <w:jc w:val="center"/>
              <w:rPr>
                <w:rFonts w:cstheme="minorHAnsi"/>
                <w:b/>
                <w:bCs/>
                <w:color w:val="FFFFFF" w:themeColor="background1"/>
                <w:lang w:val="en-US"/>
              </w:rPr>
            </w:pPr>
            <w:r w:rsidRPr="00F752AE">
              <w:rPr>
                <w:rFonts w:cstheme="minorHAnsi"/>
                <w:b/>
                <w:bCs/>
                <w:color w:val="FFFFFF" w:themeColor="background1"/>
                <w:lang w:val="en-US"/>
              </w:rPr>
              <w:t>Comment</w:t>
            </w:r>
          </w:p>
        </w:tc>
        <w:tc>
          <w:tcPr>
            <w:tcW w:w="1208" w:type="dxa"/>
            <w:shd w:val="clear" w:color="auto" w:fill="767171" w:themeFill="background2" w:themeFillShade="80"/>
            <w:vAlign w:val="center"/>
          </w:tcPr>
          <w:p w14:paraId="11091D1F" w14:textId="77777777" w:rsidR="002726E5" w:rsidRPr="00F752AE" w:rsidRDefault="002726E5" w:rsidP="009E6D92">
            <w:pPr>
              <w:jc w:val="center"/>
              <w:rPr>
                <w:rFonts w:cstheme="minorHAnsi"/>
                <w:b/>
                <w:bCs/>
                <w:color w:val="FFFFFF" w:themeColor="background1"/>
                <w:lang w:val="en-US"/>
              </w:rPr>
            </w:pPr>
            <w:r w:rsidRPr="00F752AE">
              <w:rPr>
                <w:rFonts w:cstheme="minorHAnsi"/>
                <w:b/>
                <w:bCs/>
                <w:color w:val="FFFFFF" w:themeColor="background1"/>
                <w:lang w:val="en-US"/>
              </w:rPr>
              <w:t>Consultant</w:t>
            </w:r>
          </w:p>
        </w:tc>
        <w:tc>
          <w:tcPr>
            <w:tcW w:w="3922" w:type="dxa"/>
            <w:shd w:val="clear" w:color="auto" w:fill="767171" w:themeFill="background2" w:themeFillShade="80"/>
            <w:vAlign w:val="center"/>
          </w:tcPr>
          <w:p w14:paraId="25AED59A" w14:textId="77777777" w:rsidR="002726E5" w:rsidRPr="00F752AE" w:rsidRDefault="002726E5" w:rsidP="00E01D3D">
            <w:pPr>
              <w:jc w:val="center"/>
              <w:rPr>
                <w:rFonts w:cstheme="minorHAnsi"/>
                <w:b/>
                <w:bCs/>
                <w:color w:val="FFFFFF" w:themeColor="background1"/>
                <w:lang w:val="en-US"/>
              </w:rPr>
            </w:pPr>
            <w:r w:rsidRPr="00F752AE">
              <w:rPr>
                <w:rFonts w:cstheme="minorHAnsi"/>
                <w:b/>
                <w:bCs/>
                <w:color w:val="FFFFFF" w:themeColor="background1"/>
                <w:lang w:val="en-US"/>
              </w:rPr>
              <w:t>Response</w:t>
            </w:r>
          </w:p>
        </w:tc>
      </w:tr>
      <w:tr w:rsidR="002726E5" w:rsidRPr="00F752AE" w14:paraId="48C96622" w14:textId="77777777" w:rsidTr="009E6D92">
        <w:trPr>
          <w:tblHeader/>
        </w:trPr>
        <w:tc>
          <w:tcPr>
            <w:tcW w:w="560" w:type="dxa"/>
            <w:shd w:val="clear" w:color="auto" w:fill="FFD966" w:themeFill="accent4" w:themeFillTint="99"/>
            <w:vAlign w:val="center"/>
          </w:tcPr>
          <w:p w14:paraId="5D4050FB" w14:textId="77777777" w:rsidR="002726E5" w:rsidRPr="00F752AE" w:rsidRDefault="002726E5" w:rsidP="00E01D3D">
            <w:pPr>
              <w:jc w:val="center"/>
              <w:rPr>
                <w:rFonts w:cstheme="minorHAnsi"/>
                <w:b/>
                <w:bCs/>
                <w:lang w:val="en-US"/>
              </w:rPr>
            </w:pPr>
            <w:r w:rsidRPr="00F752AE">
              <w:rPr>
                <w:rFonts w:cstheme="minorHAnsi"/>
                <w:b/>
                <w:bCs/>
                <w:lang w:val="en-US"/>
              </w:rPr>
              <w:t>#</w:t>
            </w:r>
          </w:p>
        </w:tc>
        <w:tc>
          <w:tcPr>
            <w:tcW w:w="8795" w:type="dxa"/>
            <w:shd w:val="clear" w:color="auto" w:fill="FFD966" w:themeFill="accent4" w:themeFillTint="99"/>
            <w:vAlign w:val="center"/>
          </w:tcPr>
          <w:p w14:paraId="076F8B72" w14:textId="584ADDE6" w:rsidR="002726E5" w:rsidRPr="00AB57D2" w:rsidRDefault="00AB57D2" w:rsidP="00E01D3D">
            <w:pPr>
              <w:rPr>
                <w:rFonts w:cstheme="minorHAnsi"/>
                <w:b/>
                <w:bCs/>
              </w:rPr>
            </w:pPr>
            <w:r w:rsidRPr="00AB57D2">
              <w:rPr>
                <w:rFonts w:cstheme="minorHAnsi"/>
                <w:b/>
                <w:bCs/>
              </w:rPr>
              <w:t>2024-05-01 RPT – GEO – Bobcaygeon Residential Development, Cambium</w:t>
            </w:r>
          </w:p>
        </w:tc>
        <w:tc>
          <w:tcPr>
            <w:tcW w:w="5130" w:type="dxa"/>
            <w:gridSpan w:val="2"/>
            <w:shd w:val="clear" w:color="auto" w:fill="FFD966" w:themeFill="accent4" w:themeFillTint="99"/>
            <w:vAlign w:val="center"/>
          </w:tcPr>
          <w:p w14:paraId="5D455B38" w14:textId="77777777" w:rsidR="002726E5" w:rsidRPr="00F752AE" w:rsidRDefault="002726E5" w:rsidP="009E6D92">
            <w:pPr>
              <w:rPr>
                <w:rFonts w:cstheme="minorHAnsi"/>
                <w:b/>
                <w:bCs/>
                <w:lang w:val="en-US"/>
              </w:rPr>
            </w:pPr>
            <w:r w:rsidRPr="00F752AE">
              <w:rPr>
                <w:rFonts w:cstheme="minorHAnsi"/>
                <w:b/>
                <w:bCs/>
                <w:lang w:val="en-US"/>
              </w:rPr>
              <w:t>Commenter</w:t>
            </w:r>
            <w:proofErr w:type="gramStart"/>
            <w:r w:rsidRPr="00F752AE">
              <w:rPr>
                <w:rFonts w:cstheme="minorHAnsi"/>
                <w:b/>
                <w:bCs/>
                <w:lang w:val="en-US"/>
              </w:rPr>
              <w:t>:  Stantec</w:t>
            </w:r>
            <w:proofErr w:type="gramEnd"/>
            <w:r w:rsidRPr="00F752AE">
              <w:rPr>
                <w:rFonts w:cstheme="minorHAnsi"/>
                <w:b/>
                <w:bCs/>
                <w:lang w:val="en-US"/>
              </w:rPr>
              <w:t xml:space="preserve"> Consulting Ltd. (Peer Review on behalf of the County of Peterborough)</w:t>
            </w:r>
          </w:p>
        </w:tc>
      </w:tr>
      <w:tr w:rsidR="00980BF9" w:rsidRPr="00F752AE" w14:paraId="043355AE" w14:textId="77777777" w:rsidTr="009E6D92">
        <w:tc>
          <w:tcPr>
            <w:tcW w:w="560" w:type="dxa"/>
            <w:shd w:val="clear" w:color="auto" w:fill="FFF8E5"/>
            <w:vAlign w:val="center"/>
          </w:tcPr>
          <w:p w14:paraId="71600AAE" w14:textId="77777777" w:rsidR="00980BF9" w:rsidRPr="00F752AE" w:rsidRDefault="00980BF9" w:rsidP="00980BF9">
            <w:pPr>
              <w:rPr>
                <w:rFonts w:cstheme="minorHAnsi"/>
                <w:lang w:val="en-US"/>
              </w:rPr>
            </w:pPr>
            <w:r w:rsidRPr="00F752AE">
              <w:rPr>
                <w:rFonts w:cstheme="minorHAnsi"/>
                <w:lang w:val="en-US"/>
              </w:rPr>
              <w:t>1</w:t>
            </w:r>
          </w:p>
        </w:tc>
        <w:tc>
          <w:tcPr>
            <w:tcW w:w="8795" w:type="dxa"/>
            <w:shd w:val="clear" w:color="auto" w:fill="FFF8E5"/>
            <w:vAlign w:val="center"/>
          </w:tcPr>
          <w:p w14:paraId="1533CE5F" w14:textId="77777777" w:rsidR="00980BF9" w:rsidRDefault="00980BF9" w:rsidP="00980BF9">
            <w:pPr>
              <w:rPr>
                <w:rFonts w:cstheme="minorHAnsi"/>
                <w:lang w:val="en-US"/>
              </w:rPr>
            </w:pPr>
            <w:r>
              <w:rPr>
                <w:rFonts w:cstheme="minorHAnsi"/>
                <w:lang w:val="en-US"/>
              </w:rPr>
              <w:t>Page 6 of 13</w:t>
            </w:r>
          </w:p>
          <w:p w14:paraId="2269C931" w14:textId="657D8CD3" w:rsidR="00980BF9" w:rsidRPr="00F752AE" w:rsidRDefault="00980BF9" w:rsidP="00980BF9">
            <w:pPr>
              <w:rPr>
                <w:rFonts w:cstheme="minorHAnsi"/>
                <w:lang w:val="en-US"/>
              </w:rPr>
            </w:pPr>
            <w:r>
              <w:rPr>
                <w:rFonts w:cstheme="minorHAnsi"/>
                <w:lang w:val="en-US"/>
              </w:rPr>
              <w:t xml:space="preserve">The Cambium report states a reasonable assumption that the design grades will be close to the existing grades. However, as also noted in the report, there are localized high points in the topography. It is recommended that a brief comment be provided regarding general cutting and filling for purposes of grading the overall site, including a limit to the depth of cut </w:t>
            </w:r>
            <w:proofErr w:type="gramStart"/>
            <w:r>
              <w:rPr>
                <w:rFonts w:cstheme="minorHAnsi"/>
                <w:lang w:val="en-US"/>
              </w:rPr>
              <w:t>consistent</w:t>
            </w:r>
            <w:proofErr w:type="gramEnd"/>
            <w:r>
              <w:rPr>
                <w:rFonts w:cstheme="minorHAnsi"/>
                <w:lang w:val="en-US"/>
              </w:rPr>
              <w:t xml:space="preserve"> with avoiding any concerns with respect to the presence of groundwater (focused on the west portion of the site as discussed further in the comment below).</w:t>
            </w:r>
          </w:p>
        </w:tc>
        <w:tc>
          <w:tcPr>
            <w:tcW w:w="1208" w:type="dxa"/>
            <w:shd w:val="clear" w:color="auto" w:fill="FFF8E5"/>
            <w:vAlign w:val="center"/>
          </w:tcPr>
          <w:p w14:paraId="4F5820AF" w14:textId="2F185054" w:rsidR="00980BF9" w:rsidRPr="00F752AE" w:rsidRDefault="00980BF9" w:rsidP="00980BF9">
            <w:pPr>
              <w:jc w:val="center"/>
              <w:rPr>
                <w:rFonts w:cstheme="minorHAnsi"/>
                <w:lang w:val="en-US"/>
              </w:rPr>
            </w:pPr>
            <w:r>
              <w:rPr>
                <w:rFonts w:cstheme="minorHAnsi"/>
                <w:lang w:val="en-US"/>
              </w:rPr>
              <w:t>Cambium</w:t>
            </w:r>
          </w:p>
        </w:tc>
        <w:tc>
          <w:tcPr>
            <w:tcW w:w="3922" w:type="dxa"/>
            <w:shd w:val="clear" w:color="auto" w:fill="FFF8E5"/>
            <w:vAlign w:val="center"/>
          </w:tcPr>
          <w:p w14:paraId="52CE6E5F" w14:textId="77777777" w:rsidR="00980BF9" w:rsidRDefault="00980BF9" w:rsidP="00980BF9">
            <w:pPr>
              <w:rPr>
                <w:rFonts w:cstheme="minorHAnsi"/>
                <w:lang w:val="en-US"/>
              </w:rPr>
            </w:pPr>
            <w:proofErr w:type="gramStart"/>
            <w:r>
              <w:rPr>
                <w:rFonts w:cstheme="minorHAnsi"/>
                <w:lang w:val="en-US"/>
              </w:rPr>
              <w:t>Statement</w:t>
            </w:r>
            <w:proofErr w:type="gramEnd"/>
            <w:r>
              <w:rPr>
                <w:rFonts w:cstheme="minorHAnsi"/>
                <w:lang w:val="en-US"/>
              </w:rPr>
              <w:t xml:space="preserve"> regarding grading has been revised in Section 2.0. </w:t>
            </w:r>
          </w:p>
          <w:p w14:paraId="02EAC926" w14:textId="546D13C5" w:rsidR="00980BF9" w:rsidRPr="00F752AE" w:rsidRDefault="00980BF9" w:rsidP="00980BF9">
            <w:pPr>
              <w:rPr>
                <w:rFonts w:cstheme="minorHAnsi"/>
                <w:lang w:val="en-US"/>
              </w:rPr>
            </w:pPr>
            <w:r>
              <w:rPr>
                <w:rFonts w:cstheme="minorHAnsi"/>
                <w:lang w:val="en-US"/>
              </w:rPr>
              <w:t xml:space="preserve">General grading recommendations (cut and fill) are provided in Sections 5.6 and 5.5. Recommendations with respect to the high groundwater and </w:t>
            </w:r>
            <w:proofErr w:type="gramStart"/>
            <w:r>
              <w:rPr>
                <w:rFonts w:cstheme="minorHAnsi"/>
                <w:lang w:val="en-US"/>
              </w:rPr>
              <w:t>limitations,</w:t>
            </w:r>
            <w:proofErr w:type="gramEnd"/>
            <w:r>
              <w:rPr>
                <w:rFonts w:cstheme="minorHAnsi"/>
                <w:lang w:val="en-US"/>
              </w:rPr>
              <w:t xml:space="preserve"> are now included in Sections 5.3 and 5.4.</w:t>
            </w:r>
          </w:p>
        </w:tc>
      </w:tr>
      <w:tr w:rsidR="00980BF9" w:rsidRPr="00F752AE" w14:paraId="5C220C3C" w14:textId="77777777" w:rsidTr="009E6D92">
        <w:tc>
          <w:tcPr>
            <w:tcW w:w="560" w:type="dxa"/>
            <w:shd w:val="clear" w:color="auto" w:fill="FFF8E5"/>
            <w:vAlign w:val="center"/>
          </w:tcPr>
          <w:p w14:paraId="406AA165" w14:textId="77777777" w:rsidR="00980BF9" w:rsidRPr="00F752AE" w:rsidRDefault="00980BF9" w:rsidP="00980BF9">
            <w:pPr>
              <w:rPr>
                <w:rFonts w:cstheme="minorHAnsi"/>
                <w:lang w:val="en-US"/>
              </w:rPr>
            </w:pPr>
            <w:r w:rsidRPr="00F752AE">
              <w:rPr>
                <w:rFonts w:cstheme="minorHAnsi"/>
                <w:lang w:val="en-US"/>
              </w:rPr>
              <w:t>2</w:t>
            </w:r>
          </w:p>
        </w:tc>
        <w:tc>
          <w:tcPr>
            <w:tcW w:w="8795" w:type="dxa"/>
            <w:shd w:val="clear" w:color="auto" w:fill="FFF8E5"/>
            <w:vAlign w:val="center"/>
          </w:tcPr>
          <w:p w14:paraId="31F46C4A" w14:textId="2AF617C6" w:rsidR="00980BF9" w:rsidRDefault="00980BF9" w:rsidP="00980BF9">
            <w:pPr>
              <w:rPr>
                <w:rFonts w:cstheme="minorHAnsi"/>
                <w:lang w:val="en-US"/>
              </w:rPr>
            </w:pPr>
            <w:r>
              <w:rPr>
                <w:rFonts w:cstheme="minorHAnsi"/>
                <w:lang w:val="en-US"/>
              </w:rPr>
              <w:t>Page 6 of 13</w:t>
            </w:r>
          </w:p>
          <w:p w14:paraId="08068389" w14:textId="39489E79" w:rsidR="00980BF9" w:rsidRPr="00F752AE" w:rsidRDefault="00980BF9" w:rsidP="00980BF9">
            <w:pPr>
              <w:rPr>
                <w:rFonts w:cstheme="minorHAnsi"/>
                <w:lang w:val="en-US"/>
              </w:rPr>
            </w:pPr>
            <w:r>
              <w:rPr>
                <w:rFonts w:cstheme="minorHAnsi"/>
                <w:lang w:val="en-US"/>
              </w:rPr>
              <w:t xml:space="preserve">As stated in the report, concerns with respect to encountering and handline of groundwater will likely be avoided provided footings for the residences are </w:t>
            </w:r>
            <w:proofErr w:type="gramStart"/>
            <w:r>
              <w:rPr>
                <w:rFonts w:cstheme="minorHAnsi"/>
                <w:lang w:val="en-US"/>
              </w:rPr>
              <w:t>founded</w:t>
            </w:r>
            <w:proofErr w:type="gramEnd"/>
            <w:r>
              <w:rPr>
                <w:rFonts w:cstheme="minorHAnsi"/>
                <w:lang w:val="en-US"/>
              </w:rPr>
              <w:t xml:space="preserve"> above the groundwater table level. However, Section 4.5 of the report includes specific reference to the presence of shallow groundwater in one borehole/monitoring well. Further to this, the initial geotechnical report </w:t>
            </w:r>
            <w:proofErr w:type="gramStart"/>
            <w:r>
              <w:rPr>
                <w:rFonts w:cstheme="minorHAnsi"/>
                <w:lang w:val="en-US"/>
              </w:rPr>
              <w:t>reference</w:t>
            </w:r>
            <w:proofErr w:type="gramEnd"/>
            <w:r>
              <w:rPr>
                <w:rFonts w:cstheme="minorHAnsi"/>
                <w:lang w:val="en-US"/>
              </w:rPr>
              <w:t xml:space="preserve"> the presence of shallow groundwater in three test pits excavated in the same area of the site. These shallow groundwater conditions, if present, could preclude basements in </w:t>
            </w:r>
            <w:r>
              <w:rPr>
                <w:rFonts w:cstheme="minorHAnsi"/>
                <w:lang w:val="en-US"/>
              </w:rPr>
              <w:lastRenderedPageBreak/>
              <w:t xml:space="preserve">this </w:t>
            </w:r>
            <w:proofErr w:type="gramStart"/>
            <w:r>
              <w:rPr>
                <w:rFonts w:cstheme="minorHAnsi"/>
                <w:lang w:val="en-US"/>
              </w:rPr>
              <w:t>are</w:t>
            </w:r>
            <w:proofErr w:type="gramEnd"/>
            <w:r>
              <w:rPr>
                <w:rFonts w:cstheme="minorHAnsi"/>
                <w:lang w:val="en-US"/>
              </w:rPr>
              <w:t xml:space="preserve"> of the site or require additional and more extensive consideration for temporary (construction) and permanent groundwater control if basements are adopted for residences in this area. It is recommended that additional comment be provided for this purpose and at a minimum, a cautionary / warning note specific to the area adjacent to the west boundary of the site be included in Sections 5.54 and 5.4 in the context of the intended scope of design and construction.</w:t>
            </w:r>
          </w:p>
        </w:tc>
        <w:tc>
          <w:tcPr>
            <w:tcW w:w="1208" w:type="dxa"/>
            <w:shd w:val="clear" w:color="auto" w:fill="FFF8E5"/>
            <w:vAlign w:val="center"/>
          </w:tcPr>
          <w:p w14:paraId="7CF0CC3F" w14:textId="0D07B80E" w:rsidR="00980BF9" w:rsidRPr="00F752AE" w:rsidRDefault="00980BF9" w:rsidP="00980BF9">
            <w:pPr>
              <w:jc w:val="center"/>
              <w:rPr>
                <w:rFonts w:cstheme="minorHAnsi"/>
                <w:lang w:val="en-US"/>
              </w:rPr>
            </w:pPr>
            <w:r>
              <w:rPr>
                <w:rFonts w:cstheme="minorHAnsi"/>
                <w:lang w:val="en-US"/>
              </w:rPr>
              <w:lastRenderedPageBreak/>
              <w:t>Cambium</w:t>
            </w:r>
          </w:p>
        </w:tc>
        <w:tc>
          <w:tcPr>
            <w:tcW w:w="3922" w:type="dxa"/>
            <w:shd w:val="clear" w:color="auto" w:fill="FFF8E5"/>
            <w:vAlign w:val="center"/>
          </w:tcPr>
          <w:p w14:paraId="7C2CB20C" w14:textId="77777777" w:rsidR="00980BF9" w:rsidRDefault="00980BF9" w:rsidP="00980BF9">
            <w:pPr>
              <w:rPr>
                <w:rFonts w:cstheme="minorHAnsi"/>
                <w:lang w:val="en-US"/>
              </w:rPr>
            </w:pPr>
          </w:p>
          <w:p w14:paraId="59B762B4" w14:textId="77777777" w:rsidR="00980BF9" w:rsidRDefault="00980BF9" w:rsidP="00980BF9">
            <w:pPr>
              <w:rPr>
                <w:rFonts w:cstheme="minorHAnsi"/>
                <w:lang w:val="en-US"/>
              </w:rPr>
            </w:pPr>
            <w:r>
              <w:rPr>
                <w:rFonts w:cstheme="minorHAnsi"/>
                <w:lang w:val="en-US"/>
              </w:rPr>
              <w:t>High water and discussions/warning included in Section 5.4.</w:t>
            </w:r>
          </w:p>
          <w:p w14:paraId="3CD896E8" w14:textId="6B528667" w:rsidR="00980BF9" w:rsidRPr="00F752AE" w:rsidRDefault="00980BF9" w:rsidP="00980BF9">
            <w:pPr>
              <w:rPr>
                <w:rFonts w:cstheme="minorHAnsi"/>
                <w:lang w:val="en-US"/>
              </w:rPr>
            </w:pPr>
            <w:r>
              <w:rPr>
                <w:rFonts w:cstheme="minorHAnsi"/>
                <w:lang w:val="en-US"/>
              </w:rPr>
              <w:t>Subdrainage recommendations for any proposed basements are also included in Section 5.7</w:t>
            </w:r>
          </w:p>
        </w:tc>
      </w:tr>
      <w:tr w:rsidR="00980BF9" w:rsidRPr="00F752AE" w14:paraId="44ECD687" w14:textId="77777777" w:rsidTr="009E6D92">
        <w:tc>
          <w:tcPr>
            <w:tcW w:w="560" w:type="dxa"/>
            <w:shd w:val="clear" w:color="auto" w:fill="FFF8E5"/>
            <w:vAlign w:val="center"/>
          </w:tcPr>
          <w:p w14:paraId="213C3E5A" w14:textId="77777777" w:rsidR="00980BF9" w:rsidRPr="00F752AE" w:rsidRDefault="00980BF9" w:rsidP="00980BF9">
            <w:pPr>
              <w:rPr>
                <w:rFonts w:cstheme="minorHAnsi"/>
                <w:lang w:val="en-US"/>
              </w:rPr>
            </w:pPr>
            <w:r w:rsidRPr="00F752AE">
              <w:rPr>
                <w:rFonts w:cstheme="minorHAnsi"/>
                <w:lang w:val="en-US"/>
              </w:rPr>
              <w:t>3</w:t>
            </w:r>
          </w:p>
        </w:tc>
        <w:tc>
          <w:tcPr>
            <w:tcW w:w="8795" w:type="dxa"/>
            <w:shd w:val="clear" w:color="auto" w:fill="FFF8E5"/>
            <w:vAlign w:val="center"/>
          </w:tcPr>
          <w:p w14:paraId="46AA0F80" w14:textId="77777777" w:rsidR="00980BF9" w:rsidRDefault="00980BF9" w:rsidP="00980BF9">
            <w:pPr>
              <w:rPr>
                <w:rFonts w:cstheme="minorHAnsi"/>
                <w:lang w:val="en-US"/>
              </w:rPr>
            </w:pPr>
            <w:r>
              <w:rPr>
                <w:rFonts w:cstheme="minorHAnsi"/>
                <w:lang w:val="en-US"/>
              </w:rPr>
              <w:t>Page 9 of 13</w:t>
            </w:r>
          </w:p>
          <w:p w14:paraId="2F2A9538" w14:textId="06314D7F" w:rsidR="00980BF9" w:rsidRPr="00F752AE" w:rsidRDefault="00980BF9" w:rsidP="00980BF9">
            <w:pPr>
              <w:rPr>
                <w:rFonts w:cstheme="minorHAnsi"/>
                <w:lang w:val="en-US"/>
              </w:rPr>
            </w:pPr>
            <w:r>
              <w:rPr>
                <w:rFonts w:cstheme="minorHAnsi"/>
                <w:lang w:val="en-US"/>
              </w:rPr>
              <w:t xml:space="preserve">The Cambium report (Section 5.8) includes recommendations for lateral earth pressures. The recommendation refers to “…yielding retaining structures.: This may </w:t>
            </w:r>
            <w:proofErr w:type="gramStart"/>
            <w:r>
              <w:rPr>
                <w:rFonts w:cstheme="minorHAnsi"/>
                <w:lang w:val="en-US"/>
              </w:rPr>
              <w:t>no</w:t>
            </w:r>
            <w:proofErr w:type="gramEnd"/>
            <w:r>
              <w:rPr>
                <w:rFonts w:cstheme="minorHAnsi"/>
                <w:lang w:val="en-US"/>
              </w:rPr>
              <w:t xml:space="preserve"> reflect the conditions associated with non-yielding walls for residence basements. It is recommended that this be reviewed and revised if </w:t>
            </w:r>
            <w:proofErr w:type="gramStart"/>
            <w:r>
              <w:rPr>
                <w:rFonts w:cstheme="minorHAnsi"/>
                <w:lang w:val="en-US"/>
              </w:rPr>
              <w:t>an</w:t>
            </w:r>
            <w:proofErr w:type="gramEnd"/>
            <w:r>
              <w:rPr>
                <w:rFonts w:cstheme="minorHAnsi"/>
                <w:lang w:val="en-US"/>
              </w:rPr>
              <w:t xml:space="preserve"> as appropriate.</w:t>
            </w:r>
          </w:p>
        </w:tc>
        <w:tc>
          <w:tcPr>
            <w:tcW w:w="1208" w:type="dxa"/>
            <w:shd w:val="clear" w:color="auto" w:fill="FFF8E5"/>
            <w:vAlign w:val="center"/>
          </w:tcPr>
          <w:p w14:paraId="0FAB62C8" w14:textId="01F4637F" w:rsidR="00980BF9" w:rsidRPr="00F752AE" w:rsidRDefault="00980BF9" w:rsidP="00980BF9">
            <w:pPr>
              <w:jc w:val="center"/>
              <w:rPr>
                <w:rFonts w:cstheme="minorHAnsi"/>
                <w:lang w:val="en-US"/>
              </w:rPr>
            </w:pPr>
            <w:r>
              <w:rPr>
                <w:rFonts w:cstheme="minorHAnsi"/>
                <w:lang w:val="en-US"/>
              </w:rPr>
              <w:t>Cambium</w:t>
            </w:r>
          </w:p>
        </w:tc>
        <w:tc>
          <w:tcPr>
            <w:tcW w:w="3922" w:type="dxa"/>
            <w:shd w:val="clear" w:color="auto" w:fill="FFF8E5"/>
            <w:vAlign w:val="center"/>
          </w:tcPr>
          <w:p w14:paraId="3CF9598A" w14:textId="1799B1DE" w:rsidR="00980BF9" w:rsidRPr="00F752AE" w:rsidRDefault="00980BF9" w:rsidP="00980BF9">
            <w:pPr>
              <w:rPr>
                <w:rFonts w:cstheme="minorHAnsi"/>
                <w:lang w:val="en-US"/>
              </w:rPr>
            </w:pPr>
            <w:proofErr w:type="gramStart"/>
            <w:r>
              <w:rPr>
                <w:rFonts w:cstheme="minorHAnsi"/>
                <w:lang w:val="en-US"/>
              </w:rPr>
              <w:t>Brief</w:t>
            </w:r>
            <w:proofErr w:type="gramEnd"/>
            <w:r>
              <w:rPr>
                <w:rFonts w:cstheme="minorHAnsi"/>
                <w:lang w:val="en-US"/>
              </w:rPr>
              <w:t xml:space="preserve"> edit has been made in the report.</w:t>
            </w:r>
          </w:p>
        </w:tc>
      </w:tr>
      <w:tr w:rsidR="00980BF9" w:rsidRPr="00F752AE" w14:paraId="3E55D7A7" w14:textId="77777777" w:rsidTr="009E6D92">
        <w:tc>
          <w:tcPr>
            <w:tcW w:w="560" w:type="dxa"/>
            <w:shd w:val="clear" w:color="auto" w:fill="FFF8E5"/>
            <w:vAlign w:val="center"/>
          </w:tcPr>
          <w:p w14:paraId="4CEED940" w14:textId="77777777" w:rsidR="00980BF9" w:rsidRPr="00F752AE" w:rsidRDefault="00980BF9" w:rsidP="00980BF9">
            <w:pPr>
              <w:rPr>
                <w:rFonts w:cstheme="minorHAnsi"/>
                <w:lang w:val="en-US"/>
              </w:rPr>
            </w:pPr>
            <w:r w:rsidRPr="00F752AE">
              <w:rPr>
                <w:rFonts w:cstheme="minorHAnsi"/>
                <w:lang w:val="en-US"/>
              </w:rPr>
              <w:t>4</w:t>
            </w:r>
          </w:p>
        </w:tc>
        <w:tc>
          <w:tcPr>
            <w:tcW w:w="8795" w:type="dxa"/>
            <w:shd w:val="clear" w:color="auto" w:fill="FFF8E5"/>
            <w:vAlign w:val="center"/>
          </w:tcPr>
          <w:p w14:paraId="5AD41CD2" w14:textId="77777777" w:rsidR="00980BF9" w:rsidRDefault="00980BF9" w:rsidP="00980BF9">
            <w:pPr>
              <w:rPr>
                <w:rFonts w:cstheme="minorHAnsi"/>
                <w:lang w:val="en-US"/>
              </w:rPr>
            </w:pPr>
            <w:r>
              <w:rPr>
                <w:rFonts w:cstheme="minorHAnsi"/>
                <w:lang w:val="en-US"/>
              </w:rPr>
              <w:t>Page 9 of 13</w:t>
            </w:r>
          </w:p>
          <w:p w14:paraId="6D082306" w14:textId="62D78856" w:rsidR="00980BF9" w:rsidRPr="00F752AE" w:rsidRDefault="00980BF9" w:rsidP="00980BF9">
            <w:pPr>
              <w:rPr>
                <w:rFonts w:cstheme="minorHAnsi"/>
                <w:lang w:val="en-US"/>
              </w:rPr>
            </w:pPr>
            <w:r>
              <w:rPr>
                <w:rFonts w:cstheme="minorHAnsi"/>
                <w:lang w:val="en-US"/>
              </w:rPr>
              <w:t xml:space="preserve">The Cambium report (Section 4.5) includes specific reference to the presence of shallow groundwater in one borehole / monitoring well on the west side of the site. The initial geotechnical report by others also </w:t>
            </w:r>
            <w:proofErr w:type="gramStart"/>
            <w:r>
              <w:rPr>
                <w:rFonts w:cstheme="minorHAnsi"/>
                <w:lang w:val="en-US"/>
              </w:rPr>
              <w:t>reports</w:t>
            </w:r>
            <w:proofErr w:type="gramEnd"/>
            <w:r>
              <w:rPr>
                <w:rFonts w:cstheme="minorHAnsi"/>
                <w:lang w:val="en-US"/>
              </w:rPr>
              <w:t xml:space="preserve"> the presence of shallow groundwater in that area. Section 5.7 in the Cambium report includes recommendations regarding required subdrainage for residences with basements.  It is recommended that this section be reviewed (and revised as appropriate) specific to the potential encounter shallow groundwater conditions on the west side of the site. Comment regarding whether basements should be considered for this area, if additional subdrainage be included if the developer intends to include basements in the residences in this area of the site, sand/or if additional investigation is warranted to confirm conditions should be provided.</w:t>
            </w:r>
          </w:p>
        </w:tc>
        <w:tc>
          <w:tcPr>
            <w:tcW w:w="1208" w:type="dxa"/>
            <w:shd w:val="clear" w:color="auto" w:fill="FFF8E5"/>
            <w:vAlign w:val="center"/>
          </w:tcPr>
          <w:p w14:paraId="6C348B40" w14:textId="7FD2F988" w:rsidR="00980BF9" w:rsidRPr="00F752AE" w:rsidRDefault="00980BF9" w:rsidP="00980BF9">
            <w:pPr>
              <w:jc w:val="center"/>
              <w:rPr>
                <w:rFonts w:cstheme="minorHAnsi"/>
                <w:lang w:val="en-US"/>
              </w:rPr>
            </w:pPr>
            <w:r>
              <w:rPr>
                <w:rFonts w:cstheme="minorHAnsi"/>
                <w:lang w:val="en-US"/>
              </w:rPr>
              <w:t>Cambium</w:t>
            </w:r>
          </w:p>
        </w:tc>
        <w:tc>
          <w:tcPr>
            <w:tcW w:w="3922" w:type="dxa"/>
            <w:shd w:val="clear" w:color="auto" w:fill="FFF8E5"/>
            <w:vAlign w:val="center"/>
          </w:tcPr>
          <w:p w14:paraId="36CF0093" w14:textId="5BBBCE11" w:rsidR="00980BF9" w:rsidRPr="00F752AE" w:rsidRDefault="00980BF9" w:rsidP="00980BF9">
            <w:pPr>
              <w:rPr>
                <w:rFonts w:cstheme="minorHAnsi"/>
                <w:lang w:val="en-US"/>
              </w:rPr>
            </w:pPr>
            <w:r>
              <w:rPr>
                <w:rFonts w:cstheme="minorHAnsi"/>
                <w:lang w:val="en-US"/>
              </w:rPr>
              <w:t>Section 5.7 includes subdrainage for basements. Comments on basements in this area are provided in Section 5.4 and 5.7.</w:t>
            </w:r>
          </w:p>
        </w:tc>
      </w:tr>
      <w:tr w:rsidR="00163AAA" w:rsidRPr="00F752AE" w14:paraId="6F5AA3BB" w14:textId="77777777" w:rsidTr="009E6D92">
        <w:tc>
          <w:tcPr>
            <w:tcW w:w="560" w:type="dxa"/>
            <w:shd w:val="clear" w:color="auto" w:fill="FFF8E5"/>
            <w:vAlign w:val="center"/>
          </w:tcPr>
          <w:p w14:paraId="7E3EE9BF" w14:textId="77777777" w:rsidR="00163AAA" w:rsidRPr="00F752AE" w:rsidRDefault="00163AAA" w:rsidP="00163AAA">
            <w:pPr>
              <w:rPr>
                <w:rFonts w:cstheme="minorHAnsi"/>
                <w:lang w:val="en-US"/>
              </w:rPr>
            </w:pPr>
            <w:r w:rsidRPr="00F752AE">
              <w:rPr>
                <w:rFonts w:cstheme="minorHAnsi"/>
                <w:lang w:val="en-US"/>
              </w:rPr>
              <w:t>5</w:t>
            </w:r>
          </w:p>
        </w:tc>
        <w:tc>
          <w:tcPr>
            <w:tcW w:w="8795" w:type="dxa"/>
            <w:shd w:val="clear" w:color="auto" w:fill="FFF8E5"/>
            <w:vAlign w:val="center"/>
          </w:tcPr>
          <w:p w14:paraId="3684F1C5" w14:textId="77777777" w:rsidR="00163AAA" w:rsidRDefault="00163AAA" w:rsidP="00163AAA">
            <w:pPr>
              <w:rPr>
                <w:rFonts w:cstheme="minorHAnsi"/>
                <w:lang w:val="en-US"/>
              </w:rPr>
            </w:pPr>
            <w:r>
              <w:rPr>
                <w:rFonts w:cstheme="minorHAnsi"/>
                <w:lang w:val="en-US"/>
              </w:rPr>
              <w:t>Page 11 of 13</w:t>
            </w:r>
          </w:p>
          <w:p w14:paraId="0DC4F7EF" w14:textId="6DB36F2F" w:rsidR="00163AAA" w:rsidRPr="00F752AE" w:rsidRDefault="00163AAA" w:rsidP="00163AAA">
            <w:pPr>
              <w:rPr>
                <w:rFonts w:cstheme="minorHAnsi"/>
                <w:lang w:val="en-US"/>
              </w:rPr>
            </w:pPr>
            <w:r>
              <w:rPr>
                <w:rFonts w:cstheme="minorHAnsi"/>
                <w:lang w:val="en-US"/>
              </w:rPr>
              <w:t xml:space="preserve">The Cambium report (Section 5.5) discusses reuse of the exiting soils; However, the section is focused on engineered fill and wall backfill, without specific reference to backfill </w:t>
            </w:r>
            <w:proofErr w:type="gramStart"/>
            <w:r>
              <w:rPr>
                <w:rFonts w:cstheme="minorHAnsi"/>
                <w:lang w:val="en-US"/>
              </w:rPr>
              <w:t>in  service</w:t>
            </w:r>
            <w:proofErr w:type="gramEnd"/>
            <w:r>
              <w:rPr>
                <w:rFonts w:cstheme="minorHAnsi"/>
                <w:lang w:val="en-US"/>
              </w:rPr>
              <w:t xml:space="preserve">/utility trenches. The report includes recommendations for utility bedding and cover in Section </w:t>
            </w:r>
            <w:proofErr w:type="gramStart"/>
            <w:r>
              <w:rPr>
                <w:rFonts w:cstheme="minorHAnsi"/>
                <w:lang w:val="en-US"/>
              </w:rPr>
              <w:t>5.9</w:t>
            </w:r>
            <w:proofErr w:type="gramEnd"/>
            <w:r>
              <w:rPr>
                <w:rFonts w:cstheme="minorHAnsi"/>
                <w:lang w:val="en-US"/>
              </w:rPr>
              <w:t xml:space="preserve"> but this section does not address trench backfill. It is recommended that a comment be provided in one of the referenced </w:t>
            </w:r>
            <w:proofErr w:type="gramStart"/>
            <w:r>
              <w:rPr>
                <w:rFonts w:cstheme="minorHAnsi"/>
                <w:lang w:val="en-US"/>
              </w:rPr>
              <w:t>sections,</w:t>
            </w:r>
            <w:proofErr w:type="gramEnd"/>
            <w:r>
              <w:rPr>
                <w:rFonts w:cstheme="minorHAnsi"/>
                <w:lang w:val="en-US"/>
              </w:rPr>
              <w:t xml:space="preserve"> addressing the reuse, placement and compaction of existing soils and/or imported soils, specific to service and utility trench backfill.</w:t>
            </w:r>
          </w:p>
        </w:tc>
        <w:tc>
          <w:tcPr>
            <w:tcW w:w="1208" w:type="dxa"/>
            <w:shd w:val="clear" w:color="auto" w:fill="FFF8E5"/>
            <w:vAlign w:val="center"/>
          </w:tcPr>
          <w:p w14:paraId="586854F4" w14:textId="37BEAFE6" w:rsidR="00163AAA" w:rsidRPr="00F752AE" w:rsidRDefault="00163AAA" w:rsidP="00163AAA">
            <w:pPr>
              <w:jc w:val="center"/>
              <w:rPr>
                <w:rFonts w:cstheme="minorHAnsi"/>
                <w:lang w:val="en-US"/>
              </w:rPr>
            </w:pPr>
            <w:r>
              <w:rPr>
                <w:rFonts w:cstheme="minorHAnsi"/>
                <w:lang w:val="en-US"/>
              </w:rPr>
              <w:t>Cambium</w:t>
            </w:r>
          </w:p>
        </w:tc>
        <w:tc>
          <w:tcPr>
            <w:tcW w:w="3922" w:type="dxa"/>
            <w:shd w:val="clear" w:color="auto" w:fill="FFF8E5"/>
            <w:vAlign w:val="center"/>
          </w:tcPr>
          <w:p w14:paraId="358FF945" w14:textId="296EDD81" w:rsidR="00163AAA" w:rsidRPr="00F752AE" w:rsidRDefault="00163AAA" w:rsidP="00163AAA">
            <w:pPr>
              <w:rPr>
                <w:rFonts w:cstheme="minorHAnsi"/>
                <w:lang w:val="en-US"/>
              </w:rPr>
            </w:pPr>
            <w:r>
              <w:rPr>
                <w:rFonts w:cstheme="minorHAnsi"/>
                <w:lang w:val="en-US"/>
              </w:rPr>
              <w:t xml:space="preserve">Utility </w:t>
            </w:r>
            <w:proofErr w:type="gramStart"/>
            <w:r>
              <w:rPr>
                <w:rFonts w:cstheme="minorHAnsi"/>
                <w:lang w:val="en-US"/>
              </w:rPr>
              <w:t>trench</w:t>
            </w:r>
            <w:proofErr w:type="gramEnd"/>
            <w:r>
              <w:rPr>
                <w:rFonts w:cstheme="minorHAnsi"/>
                <w:lang w:val="en-US"/>
              </w:rPr>
              <w:t xml:space="preserve"> backfill is discussed at the bottom of Section 5.5, and additional information has been provided in Section 5.9.</w:t>
            </w:r>
          </w:p>
        </w:tc>
      </w:tr>
      <w:tr w:rsidR="00163AAA" w:rsidRPr="00F752AE" w14:paraId="4D2D122E" w14:textId="77777777" w:rsidTr="009E6D92">
        <w:tc>
          <w:tcPr>
            <w:tcW w:w="560" w:type="dxa"/>
            <w:shd w:val="clear" w:color="auto" w:fill="FFF8E5"/>
            <w:vAlign w:val="center"/>
          </w:tcPr>
          <w:p w14:paraId="5A27B0F9" w14:textId="551F5BBB" w:rsidR="00163AAA" w:rsidRPr="00F752AE" w:rsidRDefault="00163AAA" w:rsidP="00163AAA">
            <w:pPr>
              <w:rPr>
                <w:rFonts w:cstheme="minorHAnsi"/>
                <w:lang w:val="en-US"/>
              </w:rPr>
            </w:pPr>
            <w:r>
              <w:rPr>
                <w:rFonts w:cstheme="minorHAnsi"/>
                <w:lang w:val="en-US"/>
              </w:rPr>
              <w:t>6</w:t>
            </w:r>
          </w:p>
        </w:tc>
        <w:tc>
          <w:tcPr>
            <w:tcW w:w="8795" w:type="dxa"/>
            <w:shd w:val="clear" w:color="auto" w:fill="FFF8E5"/>
            <w:vAlign w:val="center"/>
          </w:tcPr>
          <w:p w14:paraId="5A7292AE" w14:textId="77777777" w:rsidR="00163AAA" w:rsidRDefault="00163AAA" w:rsidP="00163AAA">
            <w:pPr>
              <w:rPr>
                <w:rFonts w:cstheme="minorHAnsi"/>
                <w:lang w:val="en-US"/>
              </w:rPr>
            </w:pPr>
            <w:r>
              <w:rPr>
                <w:rFonts w:cstheme="minorHAnsi"/>
                <w:lang w:val="en-US"/>
              </w:rPr>
              <w:t>Page 12 of 13</w:t>
            </w:r>
          </w:p>
          <w:p w14:paraId="448BB91A" w14:textId="77777777" w:rsidR="00163AAA" w:rsidRDefault="00163AAA" w:rsidP="00163AAA">
            <w:pPr>
              <w:rPr>
                <w:rFonts w:cstheme="minorHAnsi"/>
                <w:lang w:val="en-US"/>
              </w:rPr>
            </w:pPr>
            <w:r>
              <w:rPr>
                <w:rFonts w:cstheme="minorHAnsi"/>
                <w:lang w:val="en-US"/>
              </w:rPr>
              <w:t>Consistent with Cambium’s response to this comment, it is acknowledged that the design of the development may not be within the City of Peterborough limits. Can Cambium confirm that there are no Township or Municipality requirements that may apply in this respect?</w:t>
            </w:r>
          </w:p>
          <w:p w14:paraId="6D715EF2" w14:textId="77777777" w:rsidR="00163AAA" w:rsidRDefault="00163AAA" w:rsidP="00163AAA">
            <w:pPr>
              <w:rPr>
                <w:rFonts w:cstheme="minorHAnsi"/>
                <w:lang w:val="en-US"/>
              </w:rPr>
            </w:pPr>
          </w:p>
          <w:p w14:paraId="3FBD2D2E" w14:textId="51F3B67F" w:rsidR="00163AAA" w:rsidRDefault="00163AAA" w:rsidP="00163AAA">
            <w:pPr>
              <w:rPr>
                <w:rFonts w:cstheme="minorHAnsi"/>
                <w:lang w:val="en-US"/>
              </w:rPr>
            </w:pPr>
            <w:r>
              <w:rPr>
                <w:rFonts w:cstheme="minorHAnsi"/>
                <w:lang w:val="en-US"/>
              </w:rPr>
              <w:t>Reference to Recommendation 21</w:t>
            </w:r>
          </w:p>
        </w:tc>
        <w:tc>
          <w:tcPr>
            <w:tcW w:w="1208" w:type="dxa"/>
            <w:shd w:val="clear" w:color="auto" w:fill="FFF8E5"/>
            <w:vAlign w:val="center"/>
          </w:tcPr>
          <w:p w14:paraId="577B06B1" w14:textId="566EDAD9" w:rsidR="00163AAA" w:rsidRPr="00F752AE" w:rsidRDefault="00163AAA" w:rsidP="00163AAA">
            <w:pPr>
              <w:jc w:val="center"/>
              <w:rPr>
                <w:rFonts w:cstheme="minorHAnsi"/>
                <w:lang w:val="en-US"/>
              </w:rPr>
            </w:pPr>
            <w:r>
              <w:rPr>
                <w:rFonts w:cstheme="minorHAnsi"/>
                <w:lang w:val="en-US"/>
              </w:rPr>
              <w:t>Cambium</w:t>
            </w:r>
          </w:p>
        </w:tc>
        <w:tc>
          <w:tcPr>
            <w:tcW w:w="3922" w:type="dxa"/>
            <w:shd w:val="clear" w:color="auto" w:fill="FFF8E5"/>
            <w:vAlign w:val="center"/>
          </w:tcPr>
          <w:p w14:paraId="25BC8AFF" w14:textId="75CE8B93" w:rsidR="00163AAA" w:rsidRPr="00F752AE" w:rsidRDefault="00163AAA" w:rsidP="00163AAA">
            <w:pPr>
              <w:rPr>
                <w:rFonts w:cstheme="minorHAnsi"/>
                <w:lang w:val="en-US"/>
              </w:rPr>
            </w:pPr>
            <w:r>
              <w:rPr>
                <w:rFonts w:cstheme="minorHAnsi"/>
                <w:lang w:val="en-US"/>
              </w:rPr>
              <w:t xml:space="preserve">No public County of </w:t>
            </w:r>
            <w:proofErr w:type="gramStart"/>
            <w:r>
              <w:rPr>
                <w:rFonts w:cstheme="minorHAnsi"/>
                <w:lang w:val="en-US"/>
              </w:rPr>
              <w:t>Peterborough road</w:t>
            </w:r>
            <w:proofErr w:type="gramEnd"/>
            <w:r>
              <w:rPr>
                <w:rFonts w:cstheme="minorHAnsi"/>
                <w:lang w:val="en-US"/>
              </w:rPr>
              <w:t xml:space="preserve"> design standards found</w:t>
            </w:r>
          </w:p>
        </w:tc>
      </w:tr>
      <w:tr w:rsidR="00163AAA" w:rsidRPr="00F752AE" w14:paraId="68D9C2B7" w14:textId="77777777" w:rsidTr="009E6D92">
        <w:tc>
          <w:tcPr>
            <w:tcW w:w="560" w:type="dxa"/>
            <w:shd w:val="clear" w:color="auto" w:fill="FFF8E5"/>
            <w:vAlign w:val="center"/>
          </w:tcPr>
          <w:p w14:paraId="0AF5A2BC" w14:textId="050FCB7D" w:rsidR="00163AAA" w:rsidRDefault="00163AAA" w:rsidP="00163AAA">
            <w:pPr>
              <w:rPr>
                <w:rFonts w:cstheme="minorHAnsi"/>
                <w:lang w:val="en-US"/>
              </w:rPr>
            </w:pPr>
            <w:r>
              <w:rPr>
                <w:rFonts w:cstheme="minorHAnsi"/>
                <w:lang w:val="en-US"/>
              </w:rPr>
              <w:t>7</w:t>
            </w:r>
          </w:p>
        </w:tc>
        <w:tc>
          <w:tcPr>
            <w:tcW w:w="8795" w:type="dxa"/>
            <w:shd w:val="clear" w:color="auto" w:fill="FFF8E5"/>
            <w:vAlign w:val="center"/>
          </w:tcPr>
          <w:p w14:paraId="6EEC5017" w14:textId="77777777" w:rsidR="00163AAA" w:rsidRDefault="00163AAA" w:rsidP="00163AAA">
            <w:pPr>
              <w:rPr>
                <w:rFonts w:cstheme="minorHAnsi"/>
                <w:lang w:val="en-US"/>
              </w:rPr>
            </w:pPr>
            <w:r>
              <w:rPr>
                <w:rFonts w:cstheme="minorHAnsi"/>
                <w:lang w:val="en-US"/>
              </w:rPr>
              <w:t>Page 12 of 13</w:t>
            </w:r>
          </w:p>
          <w:p w14:paraId="07C82C92" w14:textId="77777777" w:rsidR="00163AAA" w:rsidRDefault="00163AAA" w:rsidP="00163AAA">
            <w:pPr>
              <w:rPr>
                <w:rFonts w:cstheme="minorHAnsi"/>
                <w:lang w:val="en-US"/>
              </w:rPr>
            </w:pPr>
            <w:r>
              <w:rPr>
                <w:rFonts w:cstheme="minorHAnsi"/>
                <w:lang w:val="en-US"/>
              </w:rPr>
              <w:t xml:space="preserve">Can Cambium confirm that there are no Township or Municipality requirements that may apply in this respect?  In addition, can Cambium comment on whether sub-drains at the curb line should be recommended </w:t>
            </w:r>
            <w:proofErr w:type="gramStart"/>
            <w:r>
              <w:rPr>
                <w:rFonts w:cstheme="minorHAnsi"/>
                <w:lang w:val="en-US"/>
              </w:rPr>
              <w:t>consistent</w:t>
            </w:r>
            <w:proofErr w:type="gramEnd"/>
            <w:r>
              <w:rPr>
                <w:rFonts w:cstheme="minorHAnsi"/>
                <w:lang w:val="en-US"/>
              </w:rPr>
              <w:t xml:space="preserve"> 3with current, typical development requirements in many jurisdictions.</w:t>
            </w:r>
          </w:p>
          <w:p w14:paraId="5306B5D6" w14:textId="77777777" w:rsidR="00163AAA" w:rsidRDefault="00163AAA" w:rsidP="00163AAA">
            <w:pPr>
              <w:rPr>
                <w:rFonts w:cstheme="minorHAnsi"/>
                <w:lang w:val="en-US"/>
              </w:rPr>
            </w:pPr>
          </w:p>
          <w:p w14:paraId="0C70B043" w14:textId="565BD577" w:rsidR="00163AAA" w:rsidRDefault="00163AAA" w:rsidP="00163AAA">
            <w:pPr>
              <w:rPr>
                <w:rFonts w:cstheme="minorHAnsi"/>
                <w:lang w:val="en-US"/>
              </w:rPr>
            </w:pPr>
            <w:r>
              <w:rPr>
                <w:rFonts w:cstheme="minorHAnsi"/>
                <w:lang w:val="en-US"/>
              </w:rPr>
              <w:t xml:space="preserve">Reference </w:t>
            </w:r>
            <w:proofErr w:type="gramStart"/>
            <w:r>
              <w:rPr>
                <w:rFonts w:cstheme="minorHAnsi"/>
                <w:lang w:val="en-US"/>
              </w:rPr>
              <w:t>to</w:t>
            </w:r>
            <w:proofErr w:type="gramEnd"/>
            <w:r>
              <w:rPr>
                <w:rFonts w:cstheme="minorHAnsi"/>
                <w:lang w:val="en-US"/>
              </w:rPr>
              <w:t xml:space="preserve"> Recommendation 22</w:t>
            </w:r>
          </w:p>
        </w:tc>
        <w:tc>
          <w:tcPr>
            <w:tcW w:w="1208" w:type="dxa"/>
            <w:shd w:val="clear" w:color="auto" w:fill="FFF8E5"/>
            <w:vAlign w:val="center"/>
          </w:tcPr>
          <w:p w14:paraId="5A26A306" w14:textId="2B4C4F8B" w:rsidR="00163AAA" w:rsidRPr="00F752AE" w:rsidRDefault="00163AAA" w:rsidP="00163AAA">
            <w:pPr>
              <w:jc w:val="center"/>
              <w:rPr>
                <w:rFonts w:cstheme="minorHAnsi"/>
                <w:lang w:val="en-US"/>
              </w:rPr>
            </w:pPr>
            <w:r>
              <w:rPr>
                <w:rFonts w:cstheme="minorHAnsi"/>
                <w:lang w:val="en-US"/>
              </w:rPr>
              <w:t>Cambium</w:t>
            </w:r>
          </w:p>
        </w:tc>
        <w:tc>
          <w:tcPr>
            <w:tcW w:w="3922" w:type="dxa"/>
            <w:shd w:val="clear" w:color="auto" w:fill="FFF8E5"/>
            <w:vAlign w:val="center"/>
          </w:tcPr>
          <w:p w14:paraId="17490F39" w14:textId="29945FB0" w:rsidR="00163AAA" w:rsidRPr="00F752AE" w:rsidRDefault="00163AAA" w:rsidP="00163AAA">
            <w:pPr>
              <w:rPr>
                <w:rFonts w:cstheme="minorHAnsi"/>
                <w:lang w:val="en-US"/>
              </w:rPr>
            </w:pPr>
            <w:r>
              <w:rPr>
                <w:rFonts w:cstheme="minorHAnsi"/>
                <w:lang w:val="en-US"/>
              </w:rPr>
              <w:t xml:space="preserve">No public County of </w:t>
            </w:r>
            <w:proofErr w:type="gramStart"/>
            <w:r>
              <w:rPr>
                <w:rFonts w:cstheme="minorHAnsi"/>
                <w:lang w:val="en-US"/>
              </w:rPr>
              <w:t>Peterborough road</w:t>
            </w:r>
            <w:proofErr w:type="gramEnd"/>
            <w:r>
              <w:rPr>
                <w:rFonts w:cstheme="minorHAnsi"/>
                <w:lang w:val="en-US"/>
              </w:rPr>
              <w:t xml:space="preserve"> design standards are found. Comments on subdrains for curb lines are now provided in Section 5.9.</w:t>
            </w:r>
          </w:p>
        </w:tc>
      </w:tr>
      <w:tr w:rsidR="00163AAA" w:rsidRPr="00F752AE" w14:paraId="54CB0360" w14:textId="77777777" w:rsidTr="009E6D92">
        <w:tc>
          <w:tcPr>
            <w:tcW w:w="560" w:type="dxa"/>
            <w:shd w:val="clear" w:color="auto" w:fill="FFF8E5"/>
            <w:vAlign w:val="center"/>
          </w:tcPr>
          <w:p w14:paraId="1C47A6EA" w14:textId="0B4D6699" w:rsidR="00163AAA" w:rsidRDefault="00163AAA" w:rsidP="00163AAA">
            <w:pPr>
              <w:rPr>
                <w:rFonts w:cstheme="minorHAnsi"/>
                <w:lang w:val="en-US"/>
              </w:rPr>
            </w:pPr>
            <w:r>
              <w:rPr>
                <w:rFonts w:cstheme="minorHAnsi"/>
                <w:lang w:val="en-US"/>
              </w:rPr>
              <w:t>8</w:t>
            </w:r>
          </w:p>
        </w:tc>
        <w:tc>
          <w:tcPr>
            <w:tcW w:w="8795" w:type="dxa"/>
            <w:shd w:val="clear" w:color="auto" w:fill="FFF8E5"/>
            <w:vAlign w:val="center"/>
          </w:tcPr>
          <w:p w14:paraId="5ED11E8E" w14:textId="77777777" w:rsidR="00163AAA" w:rsidRDefault="00163AAA" w:rsidP="00163AAA">
            <w:pPr>
              <w:rPr>
                <w:rFonts w:cstheme="minorHAnsi"/>
                <w:lang w:val="en-US"/>
              </w:rPr>
            </w:pPr>
            <w:r>
              <w:rPr>
                <w:rFonts w:cstheme="minorHAnsi"/>
                <w:lang w:val="en-US"/>
              </w:rPr>
              <w:t>Page 13 of 13</w:t>
            </w:r>
          </w:p>
          <w:p w14:paraId="03DB16AF" w14:textId="5A260CCD" w:rsidR="00163AAA" w:rsidRDefault="00163AAA" w:rsidP="00163AAA">
            <w:pPr>
              <w:rPr>
                <w:rFonts w:cstheme="minorHAnsi"/>
                <w:lang w:val="en-US"/>
              </w:rPr>
            </w:pPr>
            <w:r>
              <w:rPr>
                <w:rFonts w:cstheme="minorHAnsi"/>
                <w:lang w:val="en-US"/>
              </w:rPr>
              <w:t xml:space="preserve">The Cambium report (Section 2) states that the development is to potentially include two stormwater management blocks. However, the current FSR prepared by D.G. Bille and Associates states that stormwater is to be conveyed to existing drainage infrastructure and water course tributaries and/or to infiltration galleries. It is suggested that </w:t>
            </w:r>
            <w:proofErr w:type="gramStart"/>
            <w:r>
              <w:rPr>
                <w:rFonts w:cstheme="minorHAnsi"/>
                <w:lang w:val="en-US"/>
              </w:rPr>
              <w:t>commend</w:t>
            </w:r>
            <w:proofErr w:type="gramEnd"/>
            <w:r>
              <w:rPr>
                <w:rFonts w:cstheme="minorHAnsi"/>
                <w:lang w:val="en-US"/>
              </w:rPr>
              <w:t xml:space="preserve"> be included in the report in this respect and direction be provided to the hydrogeological report should details associated with the design and construction of infiltration galleries be required.</w:t>
            </w:r>
          </w:p>
        </w:tc>
        <w:tc>
          <w:tcPr>
            <w:tcW w:w="1208" w:type="dxa"/>
            <w:shd w:val="clear" w:color="auto" w:fill="FFF8E5"/>
            <w:vAlign w:val="center"/>
          </w:tcPr>
          <w:p w14:paraId="0701E97B" w14:textId="298A32FA" w:rsidR="00163AAA" w:rsidRPr="00F752AE" w:rsidRDefault="00163AAA" w:rsidP="00163AAA">
            <w:pPr>
              <w:jc w:val="center"/>
              <w:rPr>
                <w:rFonts w:cstheme="minorHAnsi"/>
                <w:lang w:val="en-US"/>
              </w:rPr>
            </w:pPr>
            <w:r>
              <w:rPr>
                <w:rFonts w:cstheme="minorHAnsi"/>
                <w:lang w:val="en-US"/>
              </w:rPr>
              <w:t>Cambium</w:t>
            </w:r>
          </w:p>
        </w:tc>
        <w:tc>
          <w:tcPr>
            <w:tcW w:w="3922" w:type="dxa"/>
            <w:shd w:val="clear" w:color="auto" w:fill="FFF8E5"/>
            <w:vAlign w:val="center"/>
          </w:tcPr>
          <w:p w14:paraId="6F66C61C" w14:textId="35D269CD" w:rsidR="00163AAA" w:rsidRPr="00F752AE" w:rsidRDefault="00163AAA" w:rsidP="00163AAA">
            <w:pPr>
              <w:rPr>
                <w:rFonts w:cstheme="minorHAnsi"/>
                <w:lang w:val="en-US"/>
              </w:rPr>
            </w:pPr>
            <w:r>
              <w:rPr>
                <w:rFonts w:cstheme="minorHAnsi"/>
                <w:lang w:val="en-US"/>
              </w:rPr>
              <w:t>The stormwater management blocks line has been removed. Information on infiltration galleries is to be found in the hydrogeological repot.</w:t>
            </w:r>
          </w:p>
        </w:tc>
      </w:tr>
    </w:tbl>
    <w:p w14:paraId="776FFDB1" w14:textId="77777777" w:rsidR="002726E5" w:rsidRPr="00F752AE" w:rsidRDefault="002726E5">
      <w:pPr>
        <w:rPr>
          <w:rFonts w:cstheme="minorHAnsi"/>
          <w:lang w:val="en-US"/>
        </w:rPr>
      </w:pPr>
    </w:p>
    <w:sectPr w:rsidR="002726E5" w:rsidRPr="00F752AE" w:rsidSect="00C16529">
      <w:pgSz w:w="24480" w:h="15840" w:orient="landscape"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BBD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D224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E11C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F2672"/>
    <w:multiLevelType w:val="hybridMultilevel"/>
    <w:tmpl w:val="46D6D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3303CE"/>
    <w:multiLevelType w:val="hybridMultilevel"/>
    <w:tmpl w:val="2FDA43BE"/>
    <w:lvl w:ilvl="0" w:tplc="2932A6E2">
      <w:numFmt w:val="bullet"/>
      <w:lvlText w:val=""/>
      <w:lvlJc w:val="left"/>
      <w:pPr>
        <w:ind w:left="859" w:hanging="360"/>
      </w:pPr>
      <w:rPr>
        <w:rFonts w:ascii="Symbol" w:eastAsia="Symbol" w:hAnsi="Symbol" w:cs="Symbol" w:hint="default"/>
        <w:b w:val="0"/>
        <w:bCs w:val="0"/>
        <w:i w:val="0"/>
        <w:iCs w:val="0"/>
        <w:w w:val="99"/>
        <w:sz w:val="20"/>
        <w:szCs w:val="20"/>
        <w:lang w:val="en-US" w:eastAsia="en-US" w:bidi="ar-SA"/>
      </w:rPr>
    </w:lvl>
    <w:lvl w:ilvl="1" w:tplc="AA32DC8E">
      <w:numFmt w:val="bullet"/>
      <w:lvlText w:val="•"/>
      <w:lvlJc w:val="left"/>
      <w:pPr>
        <w:ind w:left="1752" w:hanging="360"/>
      </w:pPr>
      <w:rPr>
        <w:rFonts w:hint="default"/>
        <w:lang w:val="en-US" w:eastAsia="en-US" w:bidi="ar-SA"/>
      </w:rPr>
    </w:lvl>
    <w:lvl w:ilvl="2" w:tplc="E77C4240">
      <w:numFmt w:val="bullet"/>
      <w:lvlText w:val="•"/>
      <w:lvlJc w:val="left"/>
      <w:pPr>
        <w:ind w:left="2644" w:hanging="360"/>
      </w:pPr>
      <w:rPr>
        <w:rFonts w:hint="default"/>
        <w:lang w:val="en-US" w:eastAsia="en-US" w:bidi="ar-SA"/>
      </w:rPr>
    </w:lvl>
    <w:lvl w:ilvl="3" w:tplc="F628F54C">
      <w:numFmt w:val="bullet"/>
      <w:lvlText w:val="•"/>
      <w:lvlJc w:val="left"/>
      <w:pPr>
        <w:ind w:left="3536" w:hanging="360"/>
      </w:pPr>
      <w:rPr>
        <w:rFonts w:hint="default"/>
        <w:lang w:val="en-US" w:eastAsia="en-US" w:bidi="ar-SA"/>
      </w:rPr>
    </w:lvl>
    <w:lvl w:ilvl="4" w:tplc="0A5CD200">
      <w:numFmt w:val="bullet"/>
      <w:lvlText w:val="•"/>
      <w:lvlJc w:val="left"/>
      <w:pPr>
        <w:ind w:left="4428" w:hanging="360"/>
      </w:pPr>
      <w:rPr>
        <w:rFonts w:hint="default"/>
        <w:lang w:val="en-US" w:eastAsia="en-US" w:bidi="ar-SA"/>
      </w:rPr>
    </w:lvl>
    <w:lvl w:ilvl="5" w:tplc="E5A2FCCC">
      <w:numFmt w:val="bullet"/>
      <w:lvlText w:val="•"/>
      <w:lvlJc w:val="left"/>
      <w:pPr>
        <w:ind w:left="5320" w:hanging="360"/>
      </w:pPr>
      <w:rPr>
        <w:rFonts w:hint="default"/>
        <w:lang w:val="en-US" w:eastAsia="en-US" w:bidi="ar-SA"/>
      </w:rPr>
    </w:lvl>
    <w:lvl w:ilvl="6" w:tplc="E83038D2">
      <w:numFmt w:val="bullet"/>
      <w:lvlText w:val="•"/>
      <w:lvlJc w:val="left"/>
      <w:pPr>
        <w:ind w:left="6212" w:hanging="360"/>
      </w:pPr>
      <w:rPr>
        <w:rFonts w:hint="default"/>
        <w:lang w:val="en-US" w:eastAsia="en-US" w:bidi="ar-SA"/>
      </w:rPr>
    </w:lvl>
    <w:lvl w:ilvl="7" w:tplc="62442F58">
      <w:numFmt w:val="bullet"/>
      <w:lvlText w:val="•"/>
      <w:lvlJc w:val="left"/>
      <w:pPr>
        <w:ind w:left="7104" w:hanging="360"/>
      </w:pPr>
      <w:rPr>
        <w:rFonts w:hint="default"/>
        <w:lang w:val="en-US" w:eastAsia="en-US" w:bidi="ar-SA"/>
      </w:rPr>
    </w:lvl>
    <w:lvl w:ilvl="8" w:tplc="A7F032C4">
      <w:numFmt w:val="bullet"/>
      <w:lvlText w:val="•"/>
      <w:lvlJc w:val="left"/>
      <w:pPr>
        <w:ind w:left="7996" w:hanging="360"/>
      </w:pPr>
      <w:rPr>
        <w:rFonts w:hint="default"/>
        <w:lang w:val="en-US" w:eastAsia="en-US" w:bidi="ar-SA"/>
      </w:rPr>
    </w:lvl>
  </w:abstractNum>
  <w:abstractNum w:abstractNumId="5" w15:restartNumberingAfterBreak="0">
    <w:nsid w:val="0F515C53"/>
    <w:multiLevelType w:val="hybridMultilevel"/>
    <w:tmpl w:val="3E4A1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60622"/>
    <w:multiLevelType w:val="hybridMultilevel"/>
    <w:tmpl w:val="01E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C28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89713A"/>
    <w:multiLevelType w:val="hybridMultilevel"/>
    <w:tmpl w:val="F6F6E3F8"/>
    <w:lvl w:ilvl="0" w:tplc="284E9C8E">
      <w:start w:val="1"/>
      <w:numFmt w:val="decimal"/>
      <w:lvlText w:val="%1."/>
      <w:lvlJc w:val="left"/>
      <w:pPr>
        <w:ind w:left="620" w:hanging="361"/>
      </w:pPr>
      <w:rPr>
        <w:rFonts w:ascii="Arial" w:eastAsia="Arial" w:hAnsi="Arial" w:cs="Arial" w:hint="default"/>
        <w:b/>
        <w:bCs/>
        <w:i w:val="0"/>
        <w:iCs w:val="0"/>
        <w:spacing w:val="-2"/>
        <w:w w:val="99"/>
        <w:sz w:val="20"/>
        <w:szCs w:val="20"/>
        <w:lang w:val="en-US" w:eastAsia="en-US" w:bidi="ar-SA"/>
      </w:rPr>
    </w:lvl>
    <w:lvl w:ilvl="1" w:tplc="66787506">
      <w:numFmt w:val="bullet"/>
      <w:lvlText w:val="•"/>
      <w:lvlJc w:val="left"/>
      <w:pPr>
        <w:ind w:left="1548" w:hanging="361"/>
      </w:pPr>
      <w:rPr>
        <w:rFonts w:hint="default"/>
        <w:lang w:val="en-US" w:eastAsia="en-US" w:bidi="ar-SA"/>
      </w:rPr>
    </w:lvl>
    <w:lvl w:ilvl="2" w:tplc="DA3CCD46">
      <w:numFmt w:val="bullet"/>
      <w:lvlText w:val="•"/>
      <w:lvlJc w:val="left"/>
      <w:pPr>
        <w:ind w:left="2476" w:hanging="361"/>
      </w:pPr>
      <w:rPr>
        <w:rFonts w:hint="default"/>
        <w:lang w:val="en-US" w:eastAsia="en-US" w:bidi="ar-SA"/>
      </w:rPr>
    </w:lvl>
    <w:lvl w:ilvl="3" w:tplc="9B86F962">
      <w:numFmt w:val="bullet"/>
      <w:lvlText w:val="•"/>
      <w:lvlJc w:val="left"/>
      <w:pPr>
        <w:ind w:left="3404" w:hanging="361"/>
      </w:pPr>
      <w:rPr>
        <w:rFonts w:hint="default"/>
        <w:lang w:val="en-US" w:eastAsia="en-US" w:bidi="ar-SA"/>
      </w:rPr>
    </w:lvl>
    <w:lvl w:ilvl="4" w:tplc="BA584B0C">
      <w:numFmt w:val="bullet"/>
      <w:lvlText w:val="•"/>
      <w:lvlJc w:val="left"/>
      <w:pPr>
        <w:ind w:left="4332" w:hanging="361"/>
      </w:pPr>
      <w:rPr>
        <w:rFonts w:hint="default"/>
        <w:lang w:val="en-US" w:eastAsia="en-US" w:bidi="ar-SA"/>
      </w:rPr>
    </w:lvl>
    <w:lvl w:ilvl="5" w:tplc="8394274E">
      <w:numFmt w:val="bullet"/>
      <w:lvlText w:val="•"/>
      <w:lvlJc w:val="left"/>
      <w:pPr>
        <w:ind w:left="5260" w:hanging="361"/>
      </w:pPr>
      <w:rPr>
        <w:rFonts w:hint="default"/>
        <w:lang w:val="en-US" w:eastAsia="en-US" w:bidi="ar-SA"/>
      </w:rPr>
    </w:lvl>
    <w:lvl w:ilvl="6" w:tplc="2F589DCA">
      <w:numFmt w:val="bullet"/>
      <w:lvlText w:val="•"/>
      <w:lvlJc w:val="left"/>
      <w:pPr>
        <w:ind w:left="6188" w:hanging="361"/>
      </w:pPr>
      <w:rPr>
        <w:rFonts w:hint="default"/>
        <w:lang w:val="en-US" w:eastAsia="en-US" w:bidi="ar-SA"/>
      </w:rPr>
    </w:lvl>
    <w:lvl w:ilvl="7" w:tplc="E858F60E">
      <w:numFmt w:val="bullet"/>
      <w:lvlText w:val="•"/>
      <w:lvlJc w:val="left"/>
      <w:pPr>
        <w:ind w:left="7116" w:hanging="361"/>
      </w:pPr>
      <w:rPr>
        <w:rFonts w:hint="default"/>
        <w:lang w:val="en-US" w:eastAsia="en-US" w:bidi="ar-SA"/>
      </w:rPr>
    </w:lvl>
    <w:lvl w:ilvl="8" w:tplc="2F52D53C">
      <w:numFmt w:val="bullet"/>
      <w:lvlText w:val="•"/>
      <w:lvlJc w:val="left"/>
      <w:pPr>
        <w:ind w:left="8044" w:hanging="361"/>
      </w:pPr>
      <w:rPr>
        <w:rFonts w:hint="default"/>
        <w:lang w:val="en-US" w:eastAsia="en-US" w:bidi="ar-SA"/>
      </w:rPr>
    </w:lvl>
  </w:abstractNum>
  <w:abstractNum w:abstractNumId="9" w15:restartNumberingAfterBreak="0">
    <w:nsid w:val="2141607A"/>
    <w:multiLevelType w:val="hybridMultilevel"/>
    <w:tmpl w:val="E94A7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E9DC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BE1C77"/>
    <w:multiLevelType w:val="hybridMultilevel"/>
    <w:tmpl w:val="7F7C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D4FAE"/>
    <w:multiLevelType w:val="hybridMultilevel"/>
    <w:tmpl w:val="07963E52"/>
    <w:lvl w:ilvl="0" w:tplc="2C78670C">
      <w:start w:val="1"/>
      <w:numFmt w:val="decimal"/>
      <w:lvlText w:val="%1."/>
      <w:lvlJc w:val="left"/>
      <w:pPr>
        <w:ind w:left="500" w:hanging="360"/>
      </w:pPr>
      <w:rPr>
        <w:rFonts w:ascii="Arial" w:eastAsia="Arial" w:hAnsi="Arial" w:cs="Arial" w:hint="default"/>
        <w:b w:val="0"/>
        <w:bCs w:val="0"/>
        <w:i w:val="0"/>
        <w:iCs w:val="0"/>
        <w:color w:val="231F20"/>
        <w:spacing w:val="-1"/>
        <w:w w:val="99"/>
        <w:sz w:val="20"/>
        <w:szCs w:val="20"/>
        <w:lang w:val="en-US" w:eastAsia="en-US" w:bidi="ar-SA"/>
      </w:rPr>
    </w:lvl>
    <w:lvl w:ilvl="1" w:tplc="AF44317E">
      <w:numFmt w:val="bullet"/>
      <w:lvlText w:val=""/>
      <w:lvlJc w:val="left"/>
      <w:pPr>
        <w:ind w:left="859" w:hanging="360"/>
      </w:pPr>
      <w:rPr>
        <w:rFonts w:ascii="Symbol" w:eastAsia="Symbol" w:hAnsi="Symbol" w:cs="Symbol" w:hint="default"/>
        <w:b w:val="0"/>
        <w:bCs w:val="0"/>
        <w:i w:val="0"/>
        <w:iCs w:val="0"/>
        <w:color w:val="231F20"/>
        <w:w w:val="99"/>
        <w:sz w:val="20"/>
        <w:szCs w:val="20"/>
        <w:lang w:val="en-US" w:eastAsia="en-US" w:bidi="ar-SA"/>
      </w:rPr>
    </w:lvl>
    <w:lvl w:ilvl="2" w:tplc="0F300BBE">
      <w:numFmt w:val="bullet"/>
      <w:lvlText w:val="•"/>
      <w:lvlJc w:val="left"/>
      <w:pPr>
        <w:ind w:left="1828" w:hanging="360"/>
      </w:pPr>
      <w:rPr>
        <w:rFonts w:hint="default"/>
        <w:lang w:val="en-US" w:eastAsia="en-US" w:bidi="ar-SA"/>
      </w:rPr>
    </w:lvl>
    <w:lvl w:ilvl="3" w:tplc="D5A81326">
      <w:numFmt w:val="bullet"/>
      <w:lvlText w:val="•"/>
      <w:lvlJc w:val="left"/>
      <w:pPr>
        <w:ind w:left="2797" w:hanging="360"/>
      </w:pPr>
      <w:rPr>
        <w:rFonts w:hint="default"/>
        <w:lang w:val="en-US" w:eastAsia="en-US" w:bidi="ar-SA"/>
      </w:rPr>
    </w:lvl>
    <w:lvl w:ilvl="4" w:tplc="1F624C0E">
      <w:numFmt w:val="bullet"/>
      <w:lvlText w:val="•"/>
      <w:lvlJc w:val="left"/>
      <w:pPr>
        <w:ind w:left="3766" w:hanging="360"/>
      </w:pPr>
      <w:rPr>
        <w:rFonts w:hint="default"/>
        <w:lang w:val="en-US" w:eastAsia="en-US" w:bidi="ar-SA"/>
      </w:rPr>
    </w:lvl>
    <w:lvl w:ilvl="5" w:tplc="2B9C8EBE">
      <w:numFmt w:val="bullet"/>
      <w:lvlText w:val="•"/>
      <w:lvlJc w:val="left"/>
      <w:pPr>
        <w:ind w:left="4735" w:hanging="360"/>
      </w:pPr>
      <w:rPr>
        <w:rFonts w:hint="default"/>
        <w:lang w:val="en-US" w:eastAsia="en-US" w:bidi="ar-SA"/>
      </w:rPr>
    </w:lvl>
    <w:lvl w:ilvl="6" w:tplc="A928149A">
      <w:numFmt w:val="bullet"/>
      <w:lvlText w:val="•"/>
      <w:lvlJc w:val="left"/>
      <w:pPr>
        <w:ind w:left="5704" w:hanging="360"/>
      </w:pPr>
      <w:rPr>
        <w:rFonts w:hint="default"/>
        <w:lang w:val="en-US" w:eastAsia="en-US" w:bidi="ar-SA"/>
      </w:rPr>
    </w:lvl>
    <w:lvl w:ilvl="7" w:tplc="9D96F0FA">
      <w:numFmt w:val="bullet"/>
      <w:lvlText w:val="•"/>
      <w:lvlJc w:val="left"/>
      <w:pPr>
        <w:ind w:left="6673" w:hanging="360"/>
      </w:pPr>
      <w:rPr>
        <w:rFonts w:hint="default"/>
        <w:lang w:val="en-US" w:eastAsia="en-US" w:bidi="ar-SA"/>
      </w:rPr>
    </w:lvl>
    <w:lvl w:ilvl="8" w:tplc="32401CC0">
      <w:numFmt w:val="bullet"/>
      <w:lvlText w:val="•"/>
      <w:lvlJc w:val="left"/>
      <w:pPr>
        <w:ind w:left="7642" w:hanging="360"/>
      </w:pPr>
      <w:rPr>
        <w:rFonts w:hint="default"/>
        <w:lang w:val="en-US" w:eastAsia="en-US" w:bidi="ar-SA"/>
      </w:rPr>
    </w:lvl>
  </w:abstractNum>
  <w:abstractNum w:abstractNumId="13" w15:restartNumberingAfterBreak="0">
    <w:nsid w:val="3A410FA7"/>
    <w:multiLevelType w:val="hybridMultilevel"/>
    <w:tmpl w:val="623AA858"/>
    <w:lvl w:ilvl="0" w:tplc="CBC8732E">
      <w:start w:val="1"/>
      <w:numFmt w:val="decimal"/>
      <w:lvlText w:val="%1."/>
      <w:lvlJc w:val="left"/>
      <w:pPr>
        <w:ind w:left="540" w:hanging="361"/>
      </w:pPr>
      <w:rPr>
        <w:rFonts w:ascii="Arial" w:eastAsia="Arial" w:hAnsi="Arial" w:cs="Arial" w:hint="default"/>
        <w:b w:val="0"/>
        <w:bCs w:val="0"/>
        <w:i w:val="0"/>
        <w:iCs w:val="0"/>
        <w:spacing w:val="-2"/>
        <w:w w:val="99"/>
        <w:sz w:val="20"/>
        <w:szCs w:val="20"/>
        <w:lang w:val="en-US" w:eastAsia="en-US" w:bidi="ar-SA"/>
      </w:rPr>
    </w:lvl>
    <w:lvl w:ilvl="1" w:tplc="1F00B77E">
      <w:numFmt w:val="bullet"/>
      <w:lvlText w:val="•"/>
      <w:lvlJc w:val="left"/>
      <w:pPr>
        <w:ind w:left="1468" w:hanging="361"/>
      </w:pPr>
      <w:rPr>
        <w:rFonts w:hint="default"/>
        <w:lang w:val="en-US" w:eastAsia="en-US" w:bidi="ar-SA"/>
      </w:rPr>
    </w:lvl>
    <w:lvl w:ilvl="2" w:tplc="03308B04">
      <w:numFmt w:val="bullet"/>
      <w:lvlText w:val="•"/>
      <w:lvlJc w:val="left"/>
      <w:pPr>
        <w:ind w:left="2396" w:hanging="361"/>
      </w:pPr>
      <w:rPr>
        <w:rFonts w:hint="default"/>
        <w:lang w:val="en-US" w:eastAsia="en-US" w:bidi="ar-SA"/>
      </w:rPr>
    </w:lvl>
    <w:lvl w:ilvl="3" w:tplc="BBC053B6">
      <w:numFmt w:val="bullet"/>
      <w:lvlText w:val="•"/>
      <w:lvlJc w:val="left"/>
      <w:pPr>
        <w:ind w:left="3324" w:hanging="361"/>
      </w:pPr>
      <w:rPr>
        <w:rFonts w:hint="default"/>
        <w:lang w:val="en-US" w:eastAsia="en-US" w:bidi="ar-SA"/>
      </w:rPr>
    </w:lvl>
    <w:lvl w:ilvl="4" w:tplc="E186602A">
      <w:numFmt w:val="bullet"/>
      <w:lvlText w:val="•"/>
      <w:lvlJc w:val="left"/>
      <w:pPr>
        <w:ind w:left="4252" w:hanging="361"/>
      </w:pPr>
      <w:rPr>
        <w:rFonts w:hint="default"/>
        <w:lang w:val="en-US" w:eastAsia="en-US" w:bidi="ar-SA"/>
      </w:rPr>
    </w:lvl>
    <w:lvl w:ilvl="5" w:tplc="960E2C84">
      <w:numFmt w:val="bullet"/>
      <w:lvlText w:val="•"/>
      <w:lvlJc w:val="left"/>
      <w:pPr>
        <w:ind w:left="5180" w:hanging="361"/>
      </w:pPr>
      <w:rPr>
        <w:rFonts w:hint="default"/>
        <w:lang w:val="en-US" w:eastAsia="en-US" w:bidi="ar-SA"/>
      </w:rPr>
    </w:lvl>
    <w:lvl w:ilvl="6" w:tplc="50BCCDEC">
      <w:numFmt w:val="bullet"/>
      <w:lvlText w:val="•"/>
      <w:lvlJc w:val="left"/>
      <w:pPr>
        <w:ind w:left="6108" w:hanging="361"/>
      </w:pPr>
      <w:rPr>
        <w:rFonts w:hint="default"/>
        <w:lang w:val="en-US" w:eastAsia="en-US" w:bidi="ar-SA"/>
      </w:rPr>
    </w:lvl>
    <w:lvl w:ilvl="7" w:tplc="50CC1F16">
      <w:numFmt w:val="bullet"/>
      <w:lvlText w:val="•"/>
      <w:lvlJc w:val="left"/>
      <w:pPr>
        <w:ind w:left="7036" w:hanging="361"/>
      </w:pPr>
      <w:rPr>
        <w:rFonts w:hint="default"/>
        <w:lang w:val="en-US" w:eastAsia="en-US" w:bidi="ar-SA"/>
      </w:rPr>
    </w:lvl>
    <w:lvl w:ilvl="8" w:tplc="F1FCD33E">
      <w:numFmt w:val="bullet"/>
      <w:lvlText w:val="•"/>
      <w:lvlJc w:val="left"/>
      <w:pPr>
        <w:ind w:left="7964" w:hanging="361"/>
      </w:pPr>
      <w:rPr>
        <w:rFonts w:hint="default"/>
        <w:lang w:val="en-US" w:eastAsia="en-US" w:bidi="ar-SA"/>
      </w:rPr>
    </w:lvl>
  </w:abstractNum>
  <w:abstractNum w:abstractNumId="14" w15:restartNumberingAfterBreak="0">
    <w:nsid w:val="43DF121E"/>
    <w:multiLevelType w:val="hybridMultilevel"/>
    <w:tmpl w:val="71DC7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69795F"/>
    <w:multiLevelType w:val="hybridMultilevel"/>
    <w:tmpl w:val="E99E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E65D2"/>
    <w:multiLevelType w:val="hybridMultilevel"/>
    <w:tmpl w:val="0292D316"/>
    <w:lvl w:ilvl="0" w:tplc="864E06FC">
      <w:numFmt w:val="bullet"/>
      <w:lvlText w:val=""/>
      <w:lvlJc w:val="left"/>
      <w:pPr>
        <w:ind w:left="1180" w:hanging="360"/>
      </w:pPr>
      <w:rPr>
        <w:rFonts w:ascii="Symbol" w:eastAsia="Symbol" w:hAnsi="Symbol" w:cs="Symbol" w:hint="default"/>
        <w:b w:val="0"/>
        <w:bCs w:val="0"/>
        <w:i w:val="0"/>
        <w:iCs w:val="0"/>
        <w:w w:val="96"/>
        <w:sz w:val="20"/>
        <w:szCs w:val="20"/>
        <w:lang w:val="en-US" w:eastAsia="en-US" w:bidi="ar-SA"/>
      </w:rPr>
    </w:lvl>
    <w:lvl w:ilvl="1" w:tplc="561E11A0">
      <w:numFmt w:val="bullet"/>
      <w:lvlText w:val="•"/>
      <w:lvlJc w:val="left"/>
      <w:pPr>
        <w:ind w:left="2084" w:hanging="360"/>
      </w:pPr>
      <w:rPr>
        <w:rFonts w:hint="default"/>
        <w:lang w:val="en-US" w:eastAsia="en-US" w:bidi="ar-SA"/>
      </w:rPr>
    </w:lvl>
    <w:lvl w:ilvl="2" w:tplc="6CDC8F30">
      <w:numFmt w:val="bullet"/>
      <w:lvlText w:val="•"/>
      <w:lvlJc w:val="left"/>
      <w:pPr>
        <w:ind w:left="2988" w:hanging="360"/>
      </w:pPr>
      <w:rPr>
        <w:rFonts w:hint="default"/>
        <w:lang w:val="en-US" w:eastAsia="en-US" w:bidi="ar-SA"/>
      </w:rPr>
    </w:lvl>
    <w:lvl w:ilvl="3" w:tplc="BF0A98A2">
      <w:numFmt w:val="bullet"/>
      <w:lvlText w:val="•"/>
      <w:lvlJc w:val="left"/>
      <w:pPr>
        <w:ind w:left="3892" w:hanging="360"/>
      </w:pPr>
      <w:rPr>
        <w:rFonts w:hint="default"/>
        <w:lang w:val="en-US" w:eastAsia="en-US" w:bidi="ar-SA"/>
      </w:rPr>
    </w:lvl>
    <w:lvl w:ilvl="4" w:tplc="2A7AD954">
      <w:numFmt w:val="bullet"/>
      <w:lvlText w:val="•"/>
      <w:lvlJc w:val="left"/>
      <w:pPr>
        <w:ind w:left="4796" w:hanging="360"/>
      </w:pPr>
      <w:rPr>
        <w:rFonts w:hint="default"/>
        <w:lang w:val="en-US" w:eastAsia="en-US" w:bidi="ar-SA"/>
      </w:rPr>
    </w:lvl>
    <w:lvl w:ilvl="5" w:tplc="20943666">
      <w:numFmt w:val="bullet"/>
      <w:lvlText w:val="•"/>
      <w:lvlJc w:val="left"/>
      <w:pPr>
        <w:ind w:left="5700" w:hanging="360"/>
      </w:pPr>
      <w:rPr>
        <w:rFonts w:hint="default"/>
        <w:lang w:val="en-US" w:eastAsia="en-US" w:bidi="ar-SA"/>
      </w:rPr>
    </w:lvl>
    <w:lvl w:ilvl="6" w:tplc="5C9058D6">
      <w:numFmt w:val="bullet"/>
      <w:lvlText w:val="•"/>
      <w:lvlJc w:val="left"/>
      <w:pPr>
        <w:ind w:left="6604" w:hanging="360"/>
      </w:pPr>
      <w:rPr>
        <w:rFonts w:hint="default"/>
        <w:lang w:val="en-US" w:eastAsia="en-US" w:bidi="ar-SA"/>
      </w:rPr>
    </w:lvl>
    <w:lvl w:ilvl="7" w:tplc="A274DE58">
      <w:numFmt w:val="bullet"/>
      <w:lvlText w:val="•"/>
      <w:lvlJc w:val="left"/>
      <w:pPr>
        <w:ind w:left="7508" w:hanging="360"/>
      </w:pPr>
      <w:rPr>
        <w:rFonts w:hint="default"/>
        <w:lang w:val="en-US" w:eastAsia="en-US" w:bidi="ar-SA"/>
      </w:rPr>
    </w:lvl>
    <w:lvl w:ilvl="8" w:tplc="5C1871B4">
      <w:numFmt w:val="bullet"/>
      <w:lvlText w:val="•"/>
      <w:lvlJc w:val="left"/>
      <w:pPr>
        <w:ind w:left="8412" w:hanging="360"/>
      </w:pPr>
      <w:rPr>
        <w:rFonts w:hint="default"/>
        <w:lang w:val="en-US" w:eastAsia="en-US" w:bidi="ar-SA"/>
      </w:rPr>
    </w:lvl>
  </w:abstractNum>
  <w:abstractNum w:abstractNumId="17" w15:restartNumberingAfterBreak="0">
    <w:nsid w:val="578143E9"/>
    <w:multiLevelType w:val="hybridMultilevel"/>
    <w:tmpl w:val="F6F6E3F8"/>
    <w:lvl w:ilvl="0" w:tplc="FFFFFFFF">
      <w:start w:val="1"/>
      <w:numFmt w:val="decimal"/>
      <w:lvlText w:val="%1."/>
      <w:lvlJc w:val="left"/>
      <w:pPr>
        <w:ind w:left="620" w:hanging="361"/>
      </w:pPr>
      <w:rPr>
        <w:rFonts w:ascii="Arial" w:eastAsia="Arial" w:hAnsi="Arial" w:cs="Arial" w:hint="default"/>
        <w:b/>
        <w:bCs/>
        <w:i w:val="0"/>
        <w:iCs w:val="0"/>
        <w:spacing w:val="-2"/>
        <w:w w:val="99"/>
        <w:sz w:val="20"/>
        <w:szCs w:val="20"/>
        <w:lang w:val="en-US" w:eastAsia="en-US" w:bidi="ar-SA"/>
      </w:rPr>
    </w:lvl>
    <w:lvl w:ilvl="1" w:tplc="FFFFFFFF">
      <w:numFmt w:val="bullet"/>
      <w:lvlText w:val="•"/>
      <w:lvlJc w:val="left"/>
      <w:pPr>
        <w:ind w:left="1548" w:hanging="361"/>
      </w:pPr>
      <w:rPr>
        <w:rFonts w:hint="default"/>
        <w:lang w:val="en-US" w:eastAsia="en-US" w:bidi="ar-SA"/>
      </w:rPr>
    </w:lvl>
    <w:lvl w:ilvl="2" w:tplc="FFFFFFFF">
      <w:numFmt w:val="bullet"/>
      <w:lvlText w:val="•"/>
      <w:lvlJc w:val="left"/>
      <w:pPr>
        <w:ind w:left="2476" w:hanging="361"/>
      </w:pPr>
      <w:rPr>
        <w:rFonts w:hint="default"/>
        <w:lang w:val="en-US" w:eastAsia="en-US" w:bidi="ar-SA"/>
      </w:rPr>
    </w:lvl>
    <w:lvl w:ilvl="3" w:tplc="FFFFFFFF">
      <w:numFmt w:val="bullet"/>
      <w:lvlText w:val="•"/>
      <w:lvlJc w:val="left"/>
      <w:pPr>
        <w:ind w:left="3404" w:hanging="361"/>
      </w:pPr>
      <w:rPr>
        <w:rFonts w:hint="default"/>
        <w:lang w:val="en-US" w:eastAsia="en-US" w:bidi="ar-SA"/>
      </w:rPr>
    </w:lvl>
    <w:lvl w:ilvl="4" w:tplc="FFFFFFFF">
      <w:numFmt w:val="bullet"/>
      <w:lvlText w:val="•"/>
      <w:lvlJc w:val="left"/>
      <w:pPr>
        <w:ind w:left="4332" w:hanging="361"/>
      </w:pPr>
      <w:rPr>
        <w:rFonts w:hint="default"/>
        <w:lang w:val="en-US" w:eastAsia="en-US" w:bidi="ar-SA"/>
      </w:rPr>
    </w:lvl>
    <w:lvl w:ilvl="5" w:tplc="FFFFFFFF">
      <w:numFmt w:val="bullet"/>
      <w:lvlText w:val="•"/>
      <w:lvlJc w:val="left"/>
      <w:pPr>
        <w:ind w:left="5260" w:hanging="361"/>
      </w:pPr>
      <w:rPr>
        <w:rFonts w:hint="default"/>
        <w:lang w:val="en-US" w:eastAsia="en-US" w:bidi="ar-SA"/>
      </w:rPr>
    </w:lvl>
    <w:lvl w:ilvl="6" w:tplc="FFFFFFFF">
      <w:numFmt w:val="bullet"/>
      <w:lvlText w:val="•"/>
      <w:lvlJc w:val="left"/>
      <w:pPr>
        <w:ind w:left="6188" w:hanging="361"/>
      </w:pPr>
      <w:rPr>
        <w:rFonts w:hint="default"/>
        <w:lang w:val="en-US" w:eastAsia="en-US" w:bidi="ar-SA"/>
      </w:rPr>
    </w:lvl>
    <w:lvl w:ilvl="7" w:tplc="FFFFFFFF">
      <w:numFmt w:val="bullet"/>
      <w:lvlText w:val="•"/>
      <w:lvlJc w:val="left"/>
      <w:pPr>
        <w:ind w:left="7116" w:hanging="361"/>
      </w:pPr>
      <w:rPr>
        <w:rFonts w:hint="default"/>
        <w:lang w:val="en-US" w:eastAsia="en-US" w:bidi="ar-SA"/>
      </w:rPr>
    </w:lvl>
    <w:lvl w:ilvl="8" w:tplc="FFFFFFFF">
      <w:numFmt w:val="bullet"/>
      <w:lvlText w:val="•"/>
      <w:lvlJc w:val="left"/>
      <w:pPr>
        <w:ind w:left="8044" w:hanging="361"/>
      </w:pPr>
      <w:rPr>
        <w:rFonts w:hint="default"/>
        <w:lang w:val="en-US" w:eastAsia="en-US" w:bidi="ar-SA"/>
      </w:rPr>
    </w:lvl>
  </w:abstractNum>
  <w:abstractNum w:abstractNumId="18" w15:restartNumberingAfterBreak="0">
    <w:nsid w:val="5B8E19AE"/>
    <w:multiLevelType w:val="hybridMultilevel"/>
    <w:tmpl w:val="D4682A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3D5FA2"/>
    <w:multiLevelType w:val="hybridMultilevel"/>
    <w:tmpl w:val="28E0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D4C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687B9A"/>
    <w:multiLevelType w:val="hybridMultilevel"/>
    <w:tmpl w:val="37BA633A"/>
    <w:lvl w:ilvl="0" w:tplc="1346C6B2">
      <w:start w:val="1"/>
      <w:numFmt w:val="decimal"/>
      <w:lvlText w:val="%1."/>
      <w:lvlJc w:val="left"/>
      <w:pPr>
        <w:ind w:left="536" w:hanging="357"/>
      </w:pPr>
      <w:rPr>
        <w:rFonts w:ascii="Arial" w:eastAsia="Arial" w:hAnsi="Arial" w:cs="Arial" w:hint="default"/>
        <w:b w:val="0"/>
        <w:bCs w:val="0"/>
        <w:i w:val="0"/>
        <w:iCs w:val="0"/>
        <w:spacing w:val="-2"/>
        <w:w w:val="99"/>
        <w:sz w:val="20"/>
        <w:szCs w:val="20"/>
        <w:lang w:val="en-US" w:eastAsia="en-US" w:bidi="ar-SA"/>
      </w:rPr>
    </w:lvl>
    <w:lvl w:ilvl="1" w:tplc="3C7CC818">
      <w:numFmt w:val="bullet"/>
      <w:lvlText w:val="•"/>
      <w:lvlJc w:val="left"/>
      <w:pPr>
        <w:ind w:left="1468" w:hanging="357"/>
      </w:pPr>
      <w:rPr>
        <w:rFonts w:hint="default"/>
        <w:lang w:val="en-US" w:eastAsia="en-US" w:bidi="ar-SA"/>
      </w:rPr>
    </w:lvl>
    <w:lvl w:ilvl="2" w:tplc="F294D1AC">
      <w:numFmt w:val="bullet"/>
      <w:lvlText w:val="•"/>
      <w:lvlJc w:val="left"/>
      <w:pPr>
        <w:ind w:left="2396" w:hanging="357"/>
      </w:pPr>
      <w:rPr>
        <w:rFonts w:hint="default"/>
        <w:lang w:val="en-US" w:eastAsia="en-US" w:bidi="ar-SA"/>
      </w:rPr>
    </w:lvl>
    <w:lvl w:ilvl="3" w:tplc="38AECCCC">
      <w:numFmt w:val="bullet"/>
      <w:lvlText w:val="•"/>
      <w:lvlJc w:val="left"/>
      <w:pPr>
        <w:ind w:left="3324" w:hanging="357"/>
      </w:pPr>
      <w:rPr>
        <w:rFonts w:hint="default"/>
        <w:lang w:val="en-US" w:eastAsia="en-US" w:bidi="ar-SA"/>
      </w:rPr>
    </w:lvl>
    <w:lvl w:ilvl="4" w:tplc="3D0C6CA0">
      <w:numFmt w:val="bullet"/>
      <w:lvlText w:val="•"/>
      <w:lvlJc w:val="left"/>
      <w:pPr>
        <w:ind w:left="4252" w:hanging="357"/>
      </w:pPr>
      <w:rPr>
        <w:rFonts w:hint="default"/>
        <w:lang w:val="en-US" w:eastAsia="en-US" w:bidi="ar-SA"/>
      </w:rPr>
    </w:lvl>
    <w:lvl w:ilvl="5" w:tplc="C0EEF186">
      <w:numFmt w:val="bullet"/>
      <w:lvlText w:val="•"/>
      <w:lvlJc w:val="left"/>
      <w:pPr>
        <w:ind w:left="5180" w:hanging="357"/>
      </w:pPr>
      <w:rPr>
        <w:rFonts w:hint="default"/>
        <w:lang w:val="en-US" w:eastAsia="en-US" w:bidi="ar-SA"/>
      </w:rPr>
    </w:lvl>
    <w:lvl w:ilvl="6" w:tplc="4EB62488">
      <w:numFmt w:val="bullet"/>
      <w:lvlText w:val="•"/>
      <w:lvlJc w:val="left"/>
      <w:pPr>
        <w:ind w:left="6108" w:hanging="357"/>
      </w:pPr>
      <w:rPr>
        <w:rFonts w:hint="default"/>
        <w:lang w:val="en-US" w:eastAsia="en-US" w:bidi="ar-SA"/>
      </w:rPr>
    </w:lvl>
    <w:lvl w:ilvl="7" w:tplc="E0084356">
      <w:numFmt w:val="bullet"/>
      <w:lvlText w:val="•"/>
      <w:lvlJc w:val="left"/>
      <w:pPr>
        <w:ind w:left="7036" w:hanging="357"/>
      </w:pPr>
      <w:rPr>
        <w:rFonts w:hint="default"/>
        <w:lang w:val="en-US" w:eastAsia="en-US" w:bidi="ar-SA"/>
      </w:rPr>
    </w:lvl>
    <w:lvl w:ilvl="8" w:tplc="B30A2E20">
      <w:numFmt w:val="bullet"/>
      <w:lvlText w:val="•"/>
      <w:lvlJc w:val="left"/>
      <w:pPr>
        <w:ind w:left="7964" w:hanging="357"/>
      </w:pPr>
      <w:rPr>
        <w:rFonts w:hint="default"/>
        <w:lang w:val="en-US" w:eastAsia="en-US" w:bidi="ar-SA"/>
      </w:rPr>
    </w:lvl>
  </w:abstractNum>
  <w:abstractNum w:abstractNumId="22" w15:restartNumberingAfterBreak="0">
    <w:nsid w:val="785118A3"/>
    <w:multiLevelType w:val="hybridMultilevel"/>
    <w:tmpl w:val="A2727F14"/>
    <w:lvl w:ilvl="0" w:tplc="A918AF72">
      <w:start w:val="1"/>
      <w:numFmt w:val="decimal"/>
      <w:lvlText w:val="%1."/>
      <w:lvlJc w:val="left"/>
      <w:pPr>
        <w:ind w:left="499" w:hanging="360"/>
      </w:pPr>
      <w:rPr>
        <w:rFonts w:ascii="Arial" w:eastAsia="Arial" w:hAnsi="Arial" w:cs="Arial" w:hint="default"/>
        <w:b w:val="0"/>
        <w:bCs w:val="0"/>
        <w:i w:val="0"/>
        <w:iCs w:val="0"/>
        <w:color w:val="231F20"/>
        <w:spacing w:val="-1"/>
        <w:w w:val="99"/>
        <w:sz w:val="20"/>
        <w:szCs w:val="20"/>
        <w:lang w:val="en-US" w:eastAsia="en-US" w:bidi="ar-SA"/>
      </w:rPr>
    </w:lvl>
    <w:lvl w:ilvl="1" w:tplc="216EC894">
      <w:numFmt w:val="bullet"/>
      <w:lvlText w:val=""/>
      <w:lvlJc w:val="left"/>
      <w:pPr>
        <w:ind w:left="950" w:hanging="360"/>
      </w:pPr>
      <w:rPr>
        <w:rFonts w:ascii="Symbol" w:eastAsia="Symbol" w:hAnsi="Symbol" w:cs="Symbol" w:hint="default"/>
        <w:b w:val="0"/>
        <w:bCs w:val="0"/>
        <w:i w:val="0"/>
        <w:iCs w:val="0"/>
        <w:color w:val="231F20"/>
        <w:w w:val="99"/>
        <w:sz w:val="20"/>
        <w:szCs w:val="20"/>
        <w:lang w:val="en-US" w:eastAsia="en-US" w:bidi="ar-SA"/>
      </w:rPr>
    </w:lvl>
    <w:lvl w:ilvl="2" w:tplc="766A55C2">
      <w:numFmt w:val="bullet"/>
      <w:lvlText w:val="•"/>
      <w:lvlJc w:val="left"/>
      <w:pPr>
        <w:ind w:left="1917" w:hanging="360"/>
      </w:pPr>
      <w:rPr>
        <w:rFonts w:hint="default"/>
        <w:lang w:val="en-US" w:eastAsia="en-US" w:bidi="ar-SA"/>
      </w:rPr>
    </w:lvl>
    <w:lvl w:ilvl="3" w:tplc="577A4442">
      <w:numFmt w:val="bullet"/>
      <w:lvlText w:val="•"/>
      <w:lvlJc w:val="left"/>
      <w:pPr>
        <w:ind w:left="2875" w:hanging="360"/>
      </w:pPr>
      <w:rPr>
        <w:rFonts w:hint="default"/>
        <w:lang w:val="en-US" w:eastAsia="en-US" w:bidi="ar-SA"/>
      </w:rPr>
    </w:lvl>
    <w:lvl w:ilvl="4" w:tplc="EECE1A56">
      <w:numFmt w:val="bullet"/>
      <w:lvlText w:val="•"/>
      <w:lvlJc w:val="left"/>
      <w:pPr>
        <w:ind w:left="3833" w:hanging="360"/>
      </w:pPr>
      <w:rPr>
        <w:rFonts w:hint="default"/>
        <w:lang w:val="en-US" w:eastAsia="en-US" w:bidi="ar-SA"/>
      </w:rPr>
    </w:lvl>
    <w:lvl w:ilvl="5" w:tplc="D3A64124">
      <w:numFmt w:val="bullet"/>
      <w:lvlText w:val="•"/>
      <w:lvlJc w:val="left"/>
      <w:pPr>
        <w:ind w:left="4791" w:hanging="360"/>
      </w:pPr>
      <w:rPr>
        <w:rFonts w:hint="default"/>
        <w:lang w:val="en-US" w:eastAsia="en-US" w:bidi="ar-SA"/>
      </w:rPr>
    </w:lvl>
    <w:lvl w:ilvl="6" w:tplc="89B44E50">
      <w:numFmt w:val="bullet"/>
      <w:lvlText w:val="•"/>
      <w:lvlJc w:val="left"/>
      <w:pPr>
        <w:ind w:left="5748" w:hanging="360"/>
      </w:pPr>
      <w:rPr>
        <w:rFonts w:hint="default"/>
        <w:lang w:val="en-US" w:eastAsia="en-US" w:bidi="ar-SA"/>
      </w:rPr>
    </w:lvl>
    <w:lvl w:ilvl="7" w:tplc="DC18490E">
      <w:numFmt w:val="bullet"/>
      <w:lvlText w:val="•"/>
      <w:lvlJc w:val="left"/>
      <w:pPr>
        <w:ind w:left="6706" w:hanging="360"/>
      </w:pPr>
      <w:rPr>
        <w:rFonts w:hint="default"/>
        <w:lang w:val="en-US" w:eastAsia="en-US" w:bidi="ar-SA"/>
      </w:rPr>
    </w:lvl>
    <w:lvl w:ilvl="8" w:tplc="1ED2E7E8">
      <w:numFmt w:val="bullet"/>
      <w:lvlText w:val="•"/>
      <w:lvlJc w:val="left"/>
      <w:pPr>
        <w:ind w:left="7664" w:hanging="360"/>
      </w:pPr>
      <w:rPr>
        <w:rFonts w:hint="default"/>
        <w:lang w:val="en-US" w:eastAsia="en-US" w:bidi="ar-SA"/>
      </w:rPr>
    </w:lvl>
  </w:abstractNum>
  <w:abstractNum w:abstractNumId="23" w15:restartNumberingAfterBreak="0">
    <w:nsid w:val="786F1C75"/>
    <w:multiLevelType w:val="hybridMultilevel"/>
    <w:tmpl w:val="F71208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2602993">
    <w:abstractNumId w:val="3"/>
  </w:num>
  <w:num w:numId="2" w16cid:durableId="890531721">
    <w:abstractNumId w:val="9"/>
  </w:num>
  <w:num w:numId="3" w16cid:durableId="425423741">
    <w:abstractNumId w:val="18"/>
  </w:num>
  <w:num w:numId="4" w16cid:durableId="1099834548">
    <w:abstractNumId w:val="22"/>
  </w:num>
  <w:num w:numId="5" w16cid:durableId="617490142">
    <w:abstractNumId w:val="12"/>
  </w:num>
  <w:num w:numId="6" w16cid:durableId="1768118606">
    <w:abstractNumId w:val="16"/>
  </w:num>
  <w:num w:numId="7" w16cid:durableId="1019045608">
    <w:abstractNumId w:val="21"/>
  </w:num>
  <w:num w:numId="8" w16cid:durableId="310446644">
    <w:abstractNumId w:val="13"/>
  </w:num>
  <w:num w:numId="9" w16cid:durableId="1712802071">
    <w:abstractNumId w:val="11"/>
  </w:num>
  <w:num w:numId="10" w16cid:durableId="98524762">
    <w:abstractNumId w:val="19"/>
  </w:num>
  <w:num w:numId="11" w16cid:durableId="136654455">
    <w:abstractNumId w:val="15"/>
  </w:num>
  <w:num w:numId="12" w16cid:durableId="460927859">
    <w:abstractNumId w:val="4"/>
  </w:num>
  <w:num w:numId="13" w16cid:durableId="750782361">
    <w:abstractNumId w:val="8"/>
  </w:num>
  <w:num w:numId="14" w16cid:durableId="1934316293">
    <w:abstractNumId w:val="17"/>
  </w:num>
  <w:num w:numId="15" w16cid:durableId="429277304">
    <w:abstractNumId w:val="23"/>
  </w:num>
  <w:num w:numId="16" w16cid:durableId="1754743366">
    <w:abstractNumId w:val="10"/>
  </w:num>
  <w:num w:numId="17" w16cid:durableId="179586691">
    <w:abstractNumId w:val="2"/>
  </w:num>
  <w:num w:numId="18" w16cid:durableId="2088336637">
    <w:abstractNumId w:val="7"/>
  </w:num>
  <w:num w:numId="19" w16cid:durableId="1682663710">
    <w:abstractNumId w:val="0"/>
  </w:num>
  <w:num w:numId="20" w16cid:durableId="20666247">
    <w:abstractNumId w:val="1"/>
  </w:num>
  <w:num w:numId="21" w16cid:durableId="443770504">
    <w:abstractNumId w:val="20"/>
  </w:num>
  <w:num w:numId="22" w16cid:durableId="1378622949">
    <w:abstractNumId w:val="5"/>
  </w:num>
  <w:num w:numId="23" w16cid:durableId="1802722967">
    <w:abstractNumId w:val="6"/>
  </w:num>
  <w:num w:numId="24" w16cid:durableId="1543597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7D"/>
    <w:rsid w:val="00011E36"/>
    <w:rsid w:val="0003595F"/>
    <w:rsid w:val="00051250"/>
    <w:rsid w:val="00052253"/>
    <w:rsid w:val="0005370B"/>
    <w:rsid w:val="000659AA"/>
    <w:rsid w:val="0007458B"/>
    <w:rsid w:val="00163AAA"/>
    <w:rsid w:val="001879FE"/>
    <w:rsid w:val="00192F65"/>
    <w:rsid w:val="00194F50"/>
    <w:rsid w:val="001B0088"/>
    <w:rsid w:val="001C34BB"/>
    <w:rsid w:val="001C3E8E"/>
    <w:rsid w:val="001E3457"/>
    <w:rsid w:val="002726E5"/>
    <w:rsid w:val="00290557"/>
    <w:rsid w:val="002960E6"/>
    <w:rsid w:val="00296360"/>
    <w:rsid w:val="0030316B"/>
    <w:rsid w:val="00305F4E"/>
    <w:rsid w:val="003121F1"/>
    <w:rsid w:val="00330535"/>
    <w:rsid w:val="00333314"/>
    <w:rsid w:val="00365F54"/>
    <w:rsid w:val="003F169D"/>
    <w:rsid w:val="0040612F"/>
    <w:rsid w:val="00421F7F"/>
    <w:rsid w:val="00443C29"/>
    <w:rsid w:val="00474AE8"/>
    <w:rsid w:val="004C3251"/>
    <w:rsid w:val="004E4513"/>
    <w:rsid w:val="004F00C7"/>
    <w:rsid w:val="004F19A1"/>
    <w:rsid w:val="00550A25"/>
    <w:rsid w:val="00557D3B"/>
    <w:rsid w:val="005F323C"/>
    <w:rsid w:val="00623B21"/>
    <w:rsid w:val="00640AE7"/>
    <w:rsid w:val="006835E5"/>
    <w:rsid w:val="006A4896"/>
    <w:rsid w:val="006B6D7A"/>
    <w:rsid w:val="007441CB"/>
    <w:rsid w:val="0077481F"/>
    <w:rsid w:val="007A54FE"/>
    <w:rsid w:val="007B4935"/>
    <w:rsid w:val="007D6D69"/>
    <w:rsid w:val="00810BA3"/>
    <w:rsid w:val="00891715"/>
    <w:rsid w:val="00894F40"/>
    <w:rsid w:val="008D5D4A"/>
    <w:rsid w:val="008F6A02"/>
    <w:rsid w:val="00926D05"/>
    <w:rsid w:val="00980BF9"/>
    <w:rsid w:val="009934D6"/>
    <w:rsid w:val="009D0D02"/>
    <w:rsid w:val="009E6D92"/>
    <w:rsid w:val="009F407D"/>
    <w:rsid w:val="009F6F09"/>
    <w:rsid w:val="00A248BC"/>
    <w:rsid w:val="00AB0DA4"/>
    <w:rsid w:val="00AB57D2"/>
    <w:rsid w:val="00AD2D1B"/>
    <w:rsid w:val="00AF2F96"/>
    <w:rsid w:val="00AF3C9C"/>
    <w:rsid w:val="00B654CC"/>
    <w:rsid w:val="00BD0023"/>
    <w:rsid w:val="00BD1CC6"/>
    <w:rsid w:val="00C148A4"/>
    <w:rsid w:val="00C16529"/>
    <w:rsid w:val="00C56CFF"/>
    <w:rsid w:val="00CA2E9A"/>
    <w:rsid w:val="00CC5896"/>
    <w:rsid w:val="00CC678B"/>
    <w:rsid w:val="00CF7967"/>
    <w:rsid w:val="00D10560"/>
    <w:rsid w:val="00D33C1C"/>
    <w:rsid w:val="00D623C7"/>
    <w:rsid w:val="00D95D14"/>
    <w:rsid w:val="00DB1B4F"/>
    <w:rsid w:val="00DC7129"/>
    <w:rsid w:val="00E24324"/>
    <w:rsid w:val="00E80474"/>
    <w:rsid w:val="00EA0369"/>
    <w:rsid w:val="00ED7C52"/>
    <w:rsid w:val="00F56293"/>
    <w:rsid w:val="00F7413F"/>
    <w:rsid w:val="00F752AE"/>
    <w:rsid w:val="00F87607"/>
    <w:rsid w:val="00FB3EDE"/>
    <w:rsid w:val="00FC782D"/>
    <w:rsid w:val="00FF5826"/>
    <w:rsid w:val="00FF5E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0B2C"/>
  <w15:chartTrackingRefBased/>
  <w15:docId w15:val="{A0BB5C22-7C90-49CA-BFD4-1053A9C8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4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3457"/>
    <w:pPr>
      <w:ind w:left="720"/>
      <w:contextualSpacing/>
    </w:pPr>
  </w:style>
  <w:style w:type="paragraph" w:styleId="Title">
    <w:name w:val="Title"/>
    <w:basedOn w:val="Normal"/>
    <w:next w:val="Normal"/>
    <w:link w:val="TitleChar"/>
    <w:uiPriority w:val="10"/>
    <w:qFormat/>
    <w:rsid w:val="006B6D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D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6D7A"/>
    <w:rPr>
      <w:rFonts w:asciiTheme="majorHAnsi" w:eastAsiaTheme="majorEastAsia" w:hAnsiTheme="majorHAnsi" w:cstheme="majorBidi"/>
      <w:color w:val="2F5496" w:themeColor="accent1" w:themeShade="BF"/>
      <w:sz w:val="32"/>
      <w:szCs w:val="32"/>
    </w:rPr>
  </w:style>
  <w:style w:type="paragraph" w:customStyle="1" w:styleId="Default">
    <w:name w:val="Default"/>
    <w:rsid w:val="006B6D7A"/>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2Char">
    <w:name w:val="Heading 2 Char"/>
    <w:basedOn w:val="DefaultParagraphFont"/>
    <w:link w:val="Heading2"/>
    <w:uiPriority w:val="9"/>
    <w:semiHidden/>
    <w:rsid w:val="00E243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E2432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24324"/>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11</Pages>
  <Words>5484</Words>
  <Characters>31263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Cooper</dc:creator>
  <cp:keywords/>
  <dc:description/>
  <cp:lastModifiedBy>Nicole Mountain</cp:lastModifiedBy>
  <cp:revision>21</cp:revision>
  <cp:lastPrinted>2024-09-04T19:14:00Z</cp:lastPrinted>
  <dcterms:created xsi:type="dcterms:W3CDTF">2024-09-03T13:23:00Z</dcterms:created>
  <dcterms:modified xsi:type="dcterms:W3CDTF">2024-12-20T15:08:00Z</dcterms:modified>
</cp:coreProperties>
</file>